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C3705E" w14:textId="7824F6F2" w:rsidR="007869A0" w:rsidRDefault="00D41C2B">
      <w:pPr>
        <w:rPr>
          <w:sz w:val="48"/>
          <w:szCs w:val="48"/>
        </w:rPr>
      </w:pPr>
      <w:r w:rsidRPr="00A30E50">
        <w:rPr>
          <w:b/>
          <w:bCs/>
          <w:noProof/>
          <w:color w:val="172A3A"/>
          <w:sz w:val="96"/>
          <w:szCs w:val="96"/>
        </w:rPr>
        <w:drawing>
          <wp:anchor distT="0" distB="0" distL="114300" distR="114300" simplePos="0" relativeHeight="251658240" behindDoc="0" locked="0" layoutInCell="1" allowOverlap="1" wp14:anchorId="2B8C81D3" wp14:editId="44B01381">
            <wp:simplePos x="0" y="0"/>
            <wp:positionH relativeFrom="margin">
              <wp:posOffset>576580</wp:posOffset>
            </wp:positionH>
            <wp:positionV relativeFrom="page">
              <wp:posOffset>-352425</wp:posOffset>
            </wp:positionV>
            <wp:extent cx="4470400" cy="3352800"/>
            <wp:effectExtent l="0" t="0" r="6350" b="0"/>
            <wp:wrapSquare wrapText="bothSides"/>
            <wp:docPr id="198367710" name="Picture 1" descr="A logo for a company&#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8367710" name="Picture 1" descr="A logo for a company&#10;&#10;Description automatically generated"/>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470400" cy="3352800"/>
                    </a:xfrm>
                    <a:prstGeom prst="rect">
                      <a:avLst/>
                    </a:prstGeom>
                    <a:noFill/>
                    <a:ln>
                      <a:noFill/>
                    </a:ln>
                  </pic:spPr>
                </pic:pic>
              </a:graphicData>
            </a:graphic>
            <wp14:sizeRelV relativeFrom="margin">
              <wp14:pctHeight>0</wp14:pctHeight>
            </wp14:sizeRelV>
          </wp:anchor>
        </w:drawing>
      </w:r>
    </w:p>
    <w:p w14:paraId="4ABE8AF1" w14:textId="100427C0" w:rsidR="007869A0" w:rsidRDefault="007869A0">
      <w:pPr>
        <w:rPr>
          <w:sz w:val="48"/>
          <w:szCs w:val="48"/>
        </w:rPr>
      </w:pPr>
    </w:p>
    <w:p w14:paraId="111A6DDE" w14:textId="7E077218" w:rsidR="007869A0" w:rsidRDefault="00356ACA">
      <w:pPr>
        <w:rPr>
          <w:sz w:val="48"/>
          <w:szCs w:val="48"/>
        </w:rPr>
      </w:pPr>
      <w:r w:rsidRPr="00D37050">
        <w:rPr>
          <w:noProof/>
          <w:sz w:val="48"/>
          <w:szCs w:val="48"/>
        </w:rPr>
        <mc:AlternateContent>
          <mc:Choice Requires="wps">
            <w:drawing>
              <wp:anchor distT="45720" distB="45720" distL="114300" distR="114300" simplePos="0" relativeHeight="251660670" behindDoc="0" locked="0" layoutInCell="1" allowOverlap="1" wp14:anchorId="127E3795" wp14:editId="7EB0FF3F">
                <wp:simplePos x="0" y="0"/>
                <wp:positionH relativeFrom="margin">
                  <wp:align>center</wp:align>
                </wp:positionH>
                <wp:positionV relativeFrom="margin">
                  <wp:posOffset>1758950</wp:posOffset>
                </wp:positionV>
                <wp:extent cx="6991350" cy="2438400"/>
                <wp:effectExtent l="0" t="0" r="19050"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91350" cy="2438400"/>
                        </a:xfrm>
                        <a:prstGeom prst="rect">
                          <a:avLst/>
                        </a:prstGeom>
                        <a:solidFill>
                          <a:srgbClr val="508991"/>
                        </a:solidFill>
                        <a:ln w="9525">
                          <a:solidFill>
                            <a:schemeClr val="bg1"/>
                          </a:solidFill>
                          <a:miter lim="800000"/>
                          <a:headEnd/>
                          <a:tailEnd/>
                        </a:ln>
                      </wps:spPr>
                      <wps:txbx>
                        <w:txbxContent>
                          <w:p w14:paraId="6E7CB812" w14:textId="2D0DD7DD" w:rsidR="00477F41" w:rsidRPr="00A30E50" w:rsidRDefault="006C5267" w:rsidP="00D37050">
                            <w:pPr>
                              <w:spacing w:after="0" w:line="240" w:lineRule="auto"/>
                              <w:jc w:val="center"/>
                              <w:rPr>
                                <w:b/>
                                <w:bCs/>
                                <w:color w:val="172A3A"/>
                                <w:sz w:val="96"/>
                                <w:szCs w:val="96"/>
                              </w:rPr>
                            </w:pPr>
                            <w:r>
                              <w:rPr>
                                <w:b/>
                                <w:bCs/>
                                <w:color w:val="172A3A"/>
                                <w:sz w:val="96"/>
                                <w:szCs w:val="96"/>
                              </w:rPr>
                              <w:t>Barring Individuals from School Premises</w:t>
                            </w:r>
                            <w:r w:rsidR="00477F41" w:rsidRPr="00A30E50">
                              <w:rPr>
                                <w:b/>
                                <w:bCs/>
                                <w:color w:val="172A3A"/>
                                <w:sz w:val="96"/>
                                <w:szCs w:val="96"/>
                              </w:rPr>
                              <w:t xml:space="preserve"> </w:t>
                            </w:r>
                          </w:p>
                          <w:p w14:paraId="4B627374" w14:textId="77D2FA41" w:rsidR="00D37050" w:rsidRPr="00A30E50" w:rsidRDefault="00D37050" w:rsidP="00D37050">
                            <w:pPr>
                              <w:spacing w:after="0" w:line="240" w:lineRule="auto"/>
                              <w:jc w:val="center"/>
                              <w:rPr>
                                <w:color w:val="172A3A"/>
                              </w:rPr>
                            </w:pPr>
                            <w:r w:rsidRPr="00A30E50">
                              <w:rPr>
                                <w:b/>
                                <w:bCs/>
                                <w:color w:val="172A3A"/>
                                <w:sz w:val="96"/>
                                <w:szCs w:val="96"/>
                              </w:rPr>
                              <w:t>P</w:t>
                            </w:r>
                            <w:r w:rsidR="006C5267">
                              <w:rPr>
                                <w:b/>
                                <w:bCs/>
                                <w:color w:val="172A3A"/>
                                <w:sz w:val="96"/>
                                <w:szCs w:val="96"/>
                              </w:rPr>
                              <w:t>olicy</w:t>
                            </w: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type w14:anchorId="127E3795" id="_x0000_t202" coordsize="21600,21600" o:spt="202" path="m,l,21600r21600,l21600,xe">
                <v:stroke joinstyle="miter"/>
                <v:path gradientshapeok="t" o:connecttype="rect"/>
              </v:shapetype>
              <v:shape id="Text Box 2" o:spid="_x0000_s1026" type="#_x0000_t202" style="position:absolute;margin-left:0;margin-top:138.5pt;width:550.5pt;height:192pt;z-index:251660670;visibility:visible;mso-wrap-style:square;mso-width-percent:0;mso-height-percent:0;mso-wrap-distance-left:9pt;mso-wrap-distance-top:3.6pt;mso-wrap-distance-right:9pt;mso-wrap-distance-bottom:3.6pt;mso-position-horizontal:center;mso-position-horizontal-relative:margin;mso-position-vertical:absolute;mso-position-vertical-relative:margin;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tj9NGQIAACEEAAAOAAAAZHJzL2Uyb0RvYy54bWysU9tu2zAMfR+wfxD0vthJky4x4hRdug4D&#10;ugvQ7QNkWY6FyaJGKbG7ry8lp2nW7WmYHwTRpA7Jw8P11dAZdlDoNdiSTyc5Z8pKqLXdlfz7t9s3&#10;S858ELYWBqwq+YPy/Grz+tW6d4WaQQumVsgIxPqidyVvQ3BFlnnZqk74CThlydkAdiKQibusRtET&#10;emeyWZ5fZj1g7RCk8p7+3oxOvkn4TaNk+NI0XgVmSk61hXRiOqt4Zpu1KHYoXKvlsQzxD1V0QltK&#10;eoK6EUGwPeo/oDotETw0YSKhy6BptFSpB+pmmr/o5r4VTqVeiBzvTjT5/wcrPx/u3VdkYXgHAw0w&#10;NeHdHcgfnlnYtsLu1DUi9K0SNSWeRsqy3vni+DRS7QsfQar+E9Q0ZLEPkICGBrvICvXJCJ0G8HAi&#10;XQ2BSfp5uVpNLxbkkuSbzS+W8zyNJRPF03OHPnxQ0LF4KTnSVBO8ONz5EMsRxVNIzObB6PpWG5MM&#10;3FVbg+wgSAGLfEnZUgcvwoxlfclXi9liZOA3iChGdQKpdn9F6HQgJRvdlXyZx2/UVqTtva2TzoLQ&#10;ZrxTxcYeeYzUjSSGoRooMPJZQf1AjCKMiqUNo0sL+IuzntRacv9zL1BxZj5amspqOp9HeSdjvng7&#10;IwPPPdW5R1hJUCWXATkbjW1ISxEZs3BN82t0Yva5lmO1pMNE+HFnotDP7RT1vNmbRwAAAP//AwBQ&#10;SwMEFAAGAAgAAAAhALLRk+3cAAAACQEAAA8AAABkcnMvZG93bnJldi54bWxMj8FOwzAQRO9I/IO1&#10;SNyonQhSlMapAAl6gQMlH+DG2yTFXkex24a/Z3uC21vNaHamWs/eiRNOcQikIVsoEEhtsAN1Gpqv&#10;17tHEDEZssYFQg0/GGFdX19VprThTJ942qZOcAjF0mjoUxpLKWPbozdxEUYk1vZh8ibxOXXSTubM&#10;4d7JXKlCejMQf+jNiC89tt/bo9ew2bjn5sEZp3Ka3g77+/Zjbt61vr2Zn1YgEs7pzwyX+lwdau60&#10;C0eyUTgNPCRpyJdLhoucqYxpp6EoGGRdyf8L6l8AAAD//wMAUEsBAi0AFAAGAAgAAAAhALaDOJL+&#10;AAAA4QEAABMAAAAAAAAAAAAAAAAAAAAAAFtDb250ZW50X1R5cGVzXS54bWxQSwECLQAUAAYACAAA&#10;ACEAOP0h/9YAAACUAQAACwAAAAAAAAAAAAAAAAAvAQAAX3JlbHMvLnJlbHNQSwECLQAUAAYACAAA&#10;ACEACrY/TRkCAAAhBAAADgAAAAAAAAAAAAAAAAAuAgAAZHJzL2Uyb0RvYy54bWxQSwECLQAUAAYA&#10;CAAAACEAstGT7dwAAAAJAQAADwAAAAAAAAAAAAAAAABzBAAAZHJzL2Rvd25yZXYueG1sUEsFBgAA&#10;AAAEAAQA8wAAAHwFAAAAAA==&#10;" fillcolor="#508991" strokecolor="white [3212]">
                <v:textbox>
                  <w:txbxContent>
                    <w:p w14:paraId="6E7CB812" w14:textId="2D0DD7DD" w:rsidR="00477F41" w:rsidRPr="00A30E50" w:rsidRDefault="006C5267" w:rsidP="00D37050">
                      <w:pPr>
                        <w:spacing w:after="0" w:line="240" w:lineRule="auto"/>
                        <w:jc w:val="center"/>
                        <w:rPr>
                          <w:b/>
                          <w:bCs/>
                          <w:color w:val="172A3A"/>
                          <w:sz w:val="96"/>
                          <w:szCs w:val="96"/>
                        </w:rPr>
                      </w:pPr>
                      <w:r>
                        <w:rPr>
                          <w:b/>
                          <w:bCs/>
                          <w:color w:val="172A3A"/>
                          <w:sz w:val="96"/>
                          <w:szCs w:val="96"/>
                        </w:rPr>
                        <w:t>Barring Individuals from School Premises</w:t>
                      </w:r>
                      <w:r w:rsidR="00477F41" w:rsidRPr="00A30E50">
                        <w:rPr>
                          <w:b/>
                          <w:bCs/>
                          <w:color w:val="172A3A"/>
                          <w:sz w:val="96"/>
                          <w:szCs w:val="96"/>
                        </w:rPr>
                        <w:t xml:space="preserve"> </w:t>
                      </w:r>
                    </w:p>
                    <w:p w14:paraId="4B627374" w14:textId="77D2FA41" w:rsidR="00D37050" w:rsidRPr="00A30E50" w:rsidRDefault="00D37050" w:rsidP="00D37050">
                      <w:pPr>
                        <w:spacing w:after="0" w:line="240" w:lineRule="auto"/>
                        <w:jc w:val="center"/>
                        <w:rPr>
                          <w:color w:val="172A3A"/>
                        </w:rPr>
                      </w:pPr>
                      <w:r w:rsidRPr="00A30E50">
                        <w:rPr>
                          <w:b/>
                          <w:bCs/>
                          <w:color w:val="172A3A"/>
                          <w:sz w:val="96"/>
                          <w:szCs w:val="96"/>
                        </w:rPr>
                        <w:t>P</w:t>
                      </w:r>
                      <w:r w:rsidR="006C5267">
                        <w:rPr>
                          <w:b/>
                          <w:bCs/>
                          <w:color w:val="172A3A"/>
                          <w:sz w:val="96"/>
                          <w:szCs w:val="96"/>
                        </w:rPr>
                        <w:t>olicy</w:t>
                      </w:r>
                    </w:p>
                  </w:txbxContent>
                </v:textbox>
                <w10:wrap type="square" anchorx="margin" anchory="margin"/>
              </v:shape>
            </w:pict>
          </mc:Fallback>
        </mc:AlternateContent>
      </w:r>
    </w:p>
    <w:p w14:paraId="1683F272" w14:textId="19C0F798" w:rsidR="007869A0" w:rsidRPr="008518BA" w:rsidRDefault="007869A0" w:rsidP="00D41C2B">
      <w:pPr>
        <w:spacing w:after="0" w:line="240" w:lineRule="auto"/>
        <w:rPr>
          <w:sz w:val="12"/>
          <w:szCs w:val="12"/>
        </w:rPr>
      </w:pPr>
    </w:p>
    <w:p w14:paraId="70A9E596" w14:textId="20AA1E86" w:rsidR="00D37050" w:rsidRPr="00A30E50" w:rsidRDefault="00D37050" w:rsidP="008518BA">
      <w:pPr>
        <w:spacing w:after="0" w:line="240" w:lineRule="auto"/>
        <w:rPr>
          <w:b/>
          <w:bCs/>
          <w:color w:val="172A3A"/>
          <w:sz w:val="32"/>
          <w:szCs w:val="32"/>
        </w:rPr>
      </w:pPr>
      <w:r w:rsidRPr="00A30E50">
        <w:rPr>
          <w:b/>
          <w:bCs/>
          <w:color w:val="172A3A"/>
          <w:sz w:val="32"/>
          <w:szCs w:val="32"/>
        </w:rPr>
        <w:t>Document</w:t>
      </w:r>
      <w:r w:rsidR="00477F41" w:rsidRPr="00A30E50">
        <w:rPr>
          <w:b/>
          <w:bCs/>
          <w:color w:val="172A3A"/>
          <w:sz w:val="32"/>
          <w:szCs w:val="32"/>
        </w:rPr>
        <w:t xml:space="preserve"> </w:t>
      </w:r>
      <w:r w:rsidRPr="00A30E50">
        <w:rPr>
          <w:b/>
          <w:bCs/>
          <w:color w:val="172A3A"/>
          <w:sz w:val="32"/>
          <w:szCs w:val="32"/>
        </w:rPr>
        <w:t>Control:</w:t>
      </w:r>
    </w:p>
    <w:tbl>
      <w:tblPr>
        <w:tblStyle w:val="TableGrid"/>
        <w:tblW w:w="0" w:type="auto"/>
        <w:tblLook w:val="04A0" w:firstRow="1" w:lastRow="0" w:firstColumn="1" w:lastColumn="0" w:noHBand="0" w:noVBand="1"/>
      </w:tblPr>
      <w:tblGrid>
        <w:gridCol w:w="2547"/>
        <w:gridCol w:w="2061"/>
        <w:gridCol w:w="2204"/>
        <w:gridCol w:w="2204"/>
      </w:tblGrid>
      <w:tr w:rsidR="00D37050" w:rsidRPr="00D37050" w14:paraId="45918CA5" w14:textId="77777777" w:rsidTr="00A30E50">
        <w:tc>
          <w:tcPr>
            <w:tcW w:w="2547" w:type="dxa"/>
            <w:shd w:val="clear" w:color="auto" w:fill="09BC8A"/>
            <w:vAlign w:val="center"/>
          </w:tcPr>
          <w:p w14:paraId="40D9A2C7" w14:textId="77777777" w:rsidR="00D37050" w:rsidRPr="00A30E50" w:rsidRDefault="00D37050" w:rsidP="00D37050">
            <w:pPr>
              <w:spacing w:after="0" w:line="240" w:lineRule="auto"/>
              <w:rPr>
                <w:rFonts w:ascii="Calibri" w:hAnsi="Calibri" w:cs="Calibri"/>
                <w:b/>
                <w:bCs/>
                <w:color w:val="172A3A"/>
              </w:rPr>
            </w:pPr>
            <w:r w:rsidRPr="00A30E50">
              <w:rPr>
                <w:rFonts w:ascii="Calibri" w:hAnsi="Calibri" w:cs="Calibri"/>
                <w:b/>
                <w:bCs/>
                <w:color w:val="172A3A"/>
              </w:rPr>
              <w:t>This document has been approved for operation within:</w:t>
            </w:r>
          </w:p>
        </w:tc>
        <w:tc>
          <w:tcPr>
            <w:tcW w:w="6469" w:type="dxa"/>
            <w:gridSpan w:val="3"/>
            <w:vAlign w:val="center"/>
          </w:tcPr>
          <w:p w14:paraId="78468CB9" w14:textId="77777777" w:rsidR="00D37050" w:rsidRPr="00D37050" w:rsidRDefault="00D37050" w:rsidP="00D37050">
            <w:pPr>
              <w:spacing w:after="0" w:line="240" w:lineRule="auto"/>
              <w:rPr>
                <w:rFonts w:ascii="Calibri" w:hAnsi="Calibri" w:cs="Calibri"/>
              </w:rPr>
            </w:pPr>
            <w:r w:rsidRPr="00D37050">
              <w:rPr>
                <w:rFonts w:ascii="Calibri" w:hAnsi="Calibri" w:cs="Calibri"/>
              </w:rPr>
              <w:t>Apex Collaborative Trust</w:t>
            </w:r>
          </w:p>
        </w:tc>
      </w:tr>
      <w:tr w:rsidR="00D37050" w:rsidRPr="00D37050" w14:paraId="5AF65ADB" w14:textId="77777777" w:rsidTr="00A30E50">
        <w:trPr>
          <w:trHeight w:val="397"/>
        </w:trPr>
        <w:tc>
          <w:tcPr>
            <w:tcW w:w="2547" w:type="dxa"/>
            <w:shd w:val="clear" w:color="auto" w:fill="09BC8A"/>
            <w:vAlign w:val="center"/>
          </w:tcPr>
          <w:p w14:paraId="7BCD5E18" w14:textId="77777777" w:rsidR="00D37050" w:rsidRPr="00A30E50" w:rsidRDefault="00D37050" w:rsidP="00D37050">
            <w:pPr>
              <w:spacing w:after="0" w:line="240" w:lineRule="auto"/>
              <w:rPr>
                <w:rFonts w:ascii="Calibri" w:hAnsi="Calibri" w:cs="Calibri"/>
                <w:b/>
                <w:bCs/>
                <w:color w:val="172A3A"/>
              </w:rPr>
            </w:pPr>
            <w:r w:rsidRPr="00A30E50">
              <w:rPr>
                <w:rFonts w:ascii="Calibri" w:hAnsi="Calibri" w:cs="Calibri"/>
                <w:b/>
                <w:bCs/>
                <w:color w:val="172A3A"/>
              </w:rPr>
              <w:t>Status</w:t>
            </w:r>
          </w:p>
        </w:tc>
        <w:tc>
          <w:tcPr>
            <w:tcW w:w="6469" w:type="dxa"/>
            <w:gridSpan w:val="3"/>
            <w:vAlign w:val="center"/>
          </w:tcPr>
          <w:p w14:paraId="109FBBDA" w14:textId="473B3017" w:rsidR="00D37050" w:rsidRPr="00D37050" w:rsidRDefault="006C5267" w:rsidP="00D37050">
            <w:pPr>
              <w:spacing w:after="0" w:line="240" w:lineRule="auto"/>
              <w:rPr>
                <w:rFonts w:ascii="Calibri" w:hAnsi="Calibri" w:cs="Calibri"/>
              </w:rPr>
            </w:pPr>
            <w:r>
              <w:rPr>
                <w:rFonts w:ascii="Calibri" w:hAnsi="Calibri" w:cs="Calibri"/>
              </w:rPr>
              <w:t>Recommended</w:t>
            </w:r>
          </w:p>
        </w:tc>
      </w:tr>
      <w:tr w:rsidR="00D37050" w:rsidRPr="00D37050" w14:paraId="62E643A5" w14:textId="77777777" w:rsidTr="00A30E50">
        <w:trPr>
          <w:trHeight w:val="397"/>
        </w:trPr>
        <w:tc>
          <w:tcPr>
            <w:tcW w:w="2547" w:type="dxa"/>
            <w:shd w:val="clear" w:color="auto" w:fill="09BC8A"/>
            <w:vAlign w:val="center"/>
          </w:tcPr>
          <w:p w14:paraId="38087A65" w14:textId="77777777" w:rsidR="00D37050" w:rsidRPr="00A30E50" w:rsidRDefault="00D37050" w:rsidP="00D37050">
            <w:pPr>
              <w:spacing w:after="0" w:line="240" w:lineRule="auto"/>
              <w:rPr>
                <w:rFonts w:ascii="Calibri" w:hAnsi="Calibri" w:cs="Calibri"/>
                <w:b/>
                <w:bCs/>
                <w:color w:val="172A3A"/>
              </w:rPr>
            </w:pPr>
            <w:r w:rsidRPr="00A30E50">
              <w:rPr>
                <w:rFonts w:ascii="Calibri" w:hAnsi="Calibri" w:cs="Calibri"/>
                <w:b/>
                <w:bCs/>
                <w:color w:val="172A3A"/>
              </w:rPr>
              <w:t>Owner</w:t>
            </w:r>
          </w:p>
        </w:tc>
        <w:tc>
          <w:tcPr>
            <w:tcW w:w="6469" w:type="dxa"/>
            <w:gridSpan w:val="3"/>
            <w:vAlign w:val="center"/>
          </w:tcPr>
          <w:p w14:paraId="384C51AE" w14:textId="7A391CFB" w:rsidR="00D37050" w:rsidRPr="00D37050" w:rsidRDefault="006C5267" w:rsidP="00D37050">
            <w:pPr>
              <w:spacing w:after="0" w:line="240" w:lineRule="auto"/>
              <w:rPr>
                <w:rFonts w:ascii="Calibri" w:hAnsi="Calibri" w:cs="Calibri"/>
              </w:rPr>
            </w:pPr>
            <w:r>
              <w:rPr>
                <w:rFonts w:ascii="Calibri" w:hAnsi="Calibri" w:cs="Calibri"/>
              </w:rPr>
              <w:t>CEO</w:t>
            </w:r>
          </w:p>
        </w:tc>
      </w:tr>
      <w:tr w:rsidR="00D37050" w:rsidRPr="00D37050" w14:paraId="0924BA05" w14:textId="77777777" w:rsidTr="00A30E50">
        <w:trPr>
          <w:trHeight w:val="397"/>
        </w:trPr>
        <w:tc>
          <w:tcPr>
            <w:tcW w:w="2547" w:type="dxa"/>
            <w:shd w:val="clear" w:color="auto" w:fill="09BC8A"/>
            <w:vAlign w:val="center"/>
          </w:tcPr>
          <w:p w14:paraId="36BDFD10" w14:textId="77777777" w:rsidR="00D37050" w:rsidRPr="00A30E50" w:rsidRDefault="00D37050" w:rsidP="00D37050">
            <w:pPr>
              <w:spacing w:after="0" w:line="240" w:lineRule="auto"/>
              <w:rPr>
                <w:rFonts w:ascii="Calibri" w:hAnsi="Calibri" w:cs="Calibri"/>
                <w:b/>
                <w:bCs/>
                <w:color w:val="172A3A"/>
              </w:rPr>
            </w:pPr>
            <w:r w:rsidRPr="00A30E50">
              <w:rPr>
                <w:rFonts w:ascii="Calibri" w:hAnsi="Calibri" w:cs="Calibri"/>
                <w:b/>
                <w:bCs/>
                <w:color w:val="172A3A"/>
              </w:rPr>
              <w:t>Date effective from</w:t>
            </w:r>
          </w:p>
        </w:tc>
        <w:tc>
          <w:tcPr>
            <w:tcW w:w="2061" w:type="dxa"/>
            <w:vAlign w:val="center"/>
          </w:tcPr>
          <w:p w14:paraId="31A22CC6" w14:textId="2B00B2A6" w:rsidR="00D37050" w:rsidRPr="00D37050" w:rsidRDefault="006C5267" w:rsidP="00D37050">
            <w:pPr>
              <w:spacing w:after="0" w:line="240" w:lineRule="auto"/>
              <w:rPr>
                <w:rFonts w:ascii="Calibri" w:hAnsi="Calibri" w:cs="Calibri"/>
              </w:rPr>
            </w:pPr>
            <w:r>
              <w:rPr>
                <w:rFonts w:ascii="Calibri" w:hAnsi="Calibri" w:cs="Calibri"/>
              </w:rPr>
              <w:t>Feb 2025</w:t>
            </w:r>
          </w:p>
        </w:tc>
        <w:tc>
          <w:tcPr>
            <w:tcW w:w="2204" w:type="dxa"/>
            <w:shd w:val="clear" w:color="auto" w:fill="09BC8A"/>
            <w:vAlign w:val="center"/>
          </w:tcPr>
          <w:p w14:paraId="359C793A" w14:textId="77777777" w:rsidR="00D37050" w:rsidRPr="00A30E50" w:rsidRDefault="00D37050" w:rsidP="00D37050">
            <w:pPr>
              <w:spacing w:after="0" w:line="240" w:lineRule="auto"/>
              <w:rPr>
                <w:rFonts w:ascii="Calibri" w:hAnsi="Calibri" w:cs="Calibri"/>
                <w:b/>
                <w:bCs/>
                <w:color w:val="172A3A"/>
              </w:rPr>
            </w:pPr>
            <w:r w:rsidRPr="00A30E50">
              <w:rPr>
                <w:rFonts w:ascii="Calibri" w:hAnsi="Calibri" w:cs="Calibri"/>
                <w:b/>
                <w:bCs/>
                <w:color w:val="172A3A"/>
              </w:rPr>
              <w:t>Date of next review</w:t>
            </w:r>
          </w:p>
        </w:tc>
        <w:tc>
          <w:tcPr>
            <w:tcW w:w="2204" w:type="dxa"/>
            <w:vAlign w:val="center"/>
          </w:tcPr>
          <w:p w14:paraId="4EE382FB" w14:textId="738D50E8" w:rsidR="00D37050" w:rsidRPr="00D37050" w:rsidRDefault="006C5267" w:rsidP="00D37050">
            <w:pPr>
              <w:spacing w:after="0" w:line="240" w:lineRule="auto"/>
              <w:rPr>
                <w:rFonts w:ascii="Calibri" w:hAnsi="Calibri" w:cs="Calibri"/>
              </w:rPr>
            </w:pPr>
            <w:r>
              <w:rPr>
                <w:rFonts w:ascii="Calibri" w:hAnsi="Calibri" w:cs="Calibri"/>
              </w:rPr>
              <w:t>Feb 2027</w:t>
            </w:r>
          </w:p>
        </w:tc>
      </w:tr>
      <w:tr w:rsidR="00D37050" w:rsidRPr="00D37050" w14:paraId="0E579C56" w14:textId="77777777" w:rsidTr="00A30E50">
        <w:trPr>
          <w:trHeight w:val="397"/>
        </w:trPr>
        <w:tc>
          <w:tcPr>
            <w:tcW w:w="2547" w:type="dxa"/>
            <w:shd w:val="clear" w:color="auto" w:fill="09BC8A"/>
            <w:vAlign w:val="center"/>
          </w:tcPr>
          <w:p w14:paraId="6100F555" w14:textId="77777777" w:rsidR="00D37050" w:rsidRPr="00A30E50" w:rsidRDefault="00D37050" w:rsidP="00D37050">
            <w:pPr>
              <w:spacing w:after="0" w:line="240" w:lineRule="auto"/>
              <w:rPr>
                <w:rFonts w:ascii="Calibri" w:hAnsi="Calibri" w:cs="Calibri"/>
                <w:b/>
                <w:bCs/>
                <w:color w:val="172A3A"/>
              </w:rPr>
            </w:pPr>
            <w:r w:rsidRPr="00A30E50">
              <w:rPr>
                <w:rFonts w:ascii="Calibri" w:hAnsi="Calibri" w:cs="Calibri"/>
                <w:b/>
                <w:bCs/>
                <w:color w:val="172A3A"/>
              </w:rPr>
              <w:t>Review period</w:t>
            </w:r>
          </w:p>
        </w:tc>
        <w:tc>
          <w:tcPr>
            <w:tcW w:w="2061" w:type="dxa"/>
            <w:vAlign w:val="center"/>
          </w:tcPr>
          <w:p w14:paraId="7CD09B76" w14:textId="19750389" w:rsidR="00D37050" w:rsidRPr="00D37050" w:rsidRDefault="006C5267" w:rsidP="00D37050">
            <w:pPr>
              <w:spacing w:after="0" w:line="240" w:lineRule="auto"/>
              <w:rPr>
                <w:rFonts w:ascii="Calibri" w:hAnsi="Calibri" w:cs="Calibri"/>
              </w:rPr>
            </w:pPr>
            <w:r>
              <w:rPr>
                <w:rFonts w:ascii="Calibri" w:hAnsi="Calibri" w:cs="Calibri"/>
              </w:rPr>
              <w:t>Two years</w:t>
            </w:r>
          </w:p>
        </w:tc>
        <w:tc>
          <w:tcPr>
            <w:tcW w:w="2204" w:type="dxa"/>
            <w:shd w:val="clear" w:color="auto" w:fill="09BC8A"/>
            <w:vAlign w:val="center"/>
          </w:tcPr>
          <w:p w14:paraId="69E8F90C" w14:textId="77777777" w:rsidR="00D37050" w:rsidRPr="00A30E50" w:rsidRDefault="00D37050" w:rsidP="00D37050">
            <w:pPr>
              <w:spacing w:after="0" w:line="240" w:lineRule="auto"/>
              <w:rPr>
                <w:rFonts w:ascii="Calibri" w:hAnsi="Calibri" w:cs="Calibri"/>
                <w:b/>
                <w:bCs/>
                <w:color w:val="172A3A"/>
              </w:rPr>
            </w:pPr>
            <w:r w:rsidRPr="00A30E50">
              <w:rPr>
                <w:rFonts w:ascii="Calibri" w:hAnsi="Calibri" w:cs="Calibri"/>
                <w:b/>
                <w:bCs/>
                <w:color w:val="172A3A"/>
              </w:rPr>
              <w:t>Version</w:t>
            </w:r>
          </w:p>
        </w:tc>
        <w:tc>
          <w:tcPr>
            <w:tcW w:w="2204" w:type="dxa"/>
            <w:vAlign w:val="center"/>
          </w:tcPr>
          <w:p w14:paraId="29A732E1" w14:textId="6F137159" w:rsidR="00D37050" w:rsidRPr="00D37050" w:rsidRDefault="006C5267" w:rsidP="00D37050">
            <w:pPr>
              <w:spacing w:after="0" w:line="240" w:lineRule="auto"/>
              <w:rPr>
                <w:rFonts w:ascii="Calibri" w:hAnsi="Calibri" w:cs="Calibri"/>
              </w:rPr>
            </w:pPr>
            <w:r>
              <w:rPr>
                <w:rFonts w:ascii="Calibri" w:hAnsi="Calibri" w:cs="Calibri"/>
              </w:rPr>
              <w:t>01-New</w:t>
            </w:r>
          </w:p>
        </w:tc>
      </w:tr>
    </w:tbl>
    <w:p w14:paraId="5215445E" w14:textId="3665D471" w:rsidR="00D37050" w:rsidRPr="00D37050" w:rsidRDefault="00D37050" w:rsidP="00D37050">
      <w:pPr>
        <w:spacing w:after="0" w:line="240" w:lineRule="auto"/>
        <w:rPr>
          <w:b/>
          <w:bCs/>
        </w:rPr>
      </w:pPr>
    </w:p>
    <w:tbl>
      <w:tblPr>
        <w:tblStyle w:val="TableGrid"/>
        <w:tblW w:w="0" w:type="auto"/>
        <w:tblLook w:val="04A0" w:firstRow="1" w:lastRow="0" w:firstColumn="1" w:lastColumn="0" w:noHBand="0" w:noVBand="1"/>
      </w:tblPr>
      <w:tblGrid>
        <w:gridCol w:w="2405"/>
        <w:gridCol w:w="6611"/>
      </w:tblGrid>
      <w:tr w:rsidR="00A30E50" w:rsidRPr="00A30E50" w14:paraId="72EE2DA7" w14:textId="77777777" w:rsidTr="00A30E50">
        <w:trPr>
          <w:trHeight w:val="397"/>
        </w:trPr>
        <w:tc>
          <w:tcPr>
            <w:tcW w:w="2405" w:type="dxa"/>
            <w:shd w:val="clear" w:color="auto" w:fill="09BC8A"/>
            <w:vAlign w:val="center"/>
          </w:tcPr>
          <w:p w14:paraId="14EC9BAC" w14:textId="77777777" w:rsidR="00D37050" w:rsidRPr="00A30E50" w:rsidRDefault="00D37050" w:rsidP="00D37050">
            <w:pPr>
              <w:spacing w:after="0" w:line="240" w:lineRule="auto"/>
              <w:jc w:val="center"/>
              <w:rPr>
                <w:rFonts w:ascii="Calibri" w:hAnsi="Calibri" w:cs="Calibri"/>
                <w:b/>
                <w:bCs/>
                <w:color w:val="172A3A"/>
              </w:rPr>
            </w:pPr>
            <w:r w:rsidRPr="00A30E50">
              <w:rPr>
                <w:rFonts w:ascii="Calibri" w:hAnsi="Calibri" w:cs="Calibri"/>
                <w:b/>
                <w:bCs/>
                <w:color w:val="172A3A"/>
              </w:rPr>
              <w:t>Version</w:t>
            </w:r>
          </w:p>
        </w:tc>
        <w:tc>
          <w:tcPr>
            <w:tcW w:w="6611" w:type="dxa"/>
            <w:shd w:val="clear" w:color="auto" w:fill="09BC8A"/>
            <w:vAlign w:val="center"/>
          </w:tcPr>
          <w:p w14:paraId="541CE0F0" w14:textId="77777777" w:rsidR="00D37050" w:rsidRPr="00A30E50" w:rsidRDefault="00D37050" w:rsidP="00D37050">
            <w:pPr>
              <w:spacing w:after="0" w:line="240" w:lineRule="auto"/>
              <w:jc w:val="center"/>
              <w:rPr>
                <w:rFonts w:ascii="Calibri" w:hAnsi="Calibri" w:cs="Calibri"/>
                <w:b/>
                <w:bCs/>
                <w:color w:val="172A3A"/>
              </w:rPr>
            </w:pPr>
            <w:r w:rsidRPr="00A30E50">
              <w:rPr>
                <w:rFonts w:ascii="Calibri" w:hAnsi="Calibri" w:cs="Calibri"/>
                <w:b/>
                <w:bCs/>
                <w:color w:val="172A3A"/>
              </w:rPr>
              <w:t>Changes identified</w:t>
            </w:r>
          </w:p>
        </w:tc>
      </w:tr>
      <w:tr w:rsidR="00D37050" w14:paraId="12F509E7" w14:textId="77777777" w:rsidTr="00D37050">
        <w:trPr>
          <w:trHeight w:val="397"/>
        </w:trPr>
        <w:tc>
          <w:tcPr>
            <w:tcW w:w="2405" w:type="dxa"/>
            <w:vAlign w:val="center"/>
          </w:tcPr>
          <w:p w14:paraId="365A5109" w14:textId="64D134CD" w:rsidR="00D37050" w:rsidRPr="00D37050" w:rsidRDefault="00D37050" w:rsidP="00D37050">
            <w:pPr>
              <w:spacing w:after="0" w:line="240" w:lineRule="auto"/>
              <w:jc w:val="center"/>
              <w:rPr>
                <w:rFonts w:ascii="Calibri" w:hAnsi="Calibri" w:cs="Calibri"/>
                <w:b/>
                <w:bCs/>
              </w:rPr>
            </w:pPr>
          </w:p>
        </w:tc>
        <w:tc>
          <w:tcPr>
            <w:tcW w:w="6611" w:type="dxa"/>
            <w:vAlign w:val="center"/>
          </w:tcPr>
          <w:p w14:paraId="5AE4B4B2" w14:textId="5D7B78AC" w:rsidR="00D37050" w:rsidRPr="00D37050" w:rsidRDefault="00D37050" w:rsidP="00D37050">
            <w:pPr>
              <w:spacing w:after="0" w:line="240" w:lineRule="auto"/>
              <w:rPr>
                <w:rFonts w:ascii="Calibri" w:hAnsi="Calibri" w:cs="Calibri"/>
              </w:rPr>
            </w:pPr>
          </w:p>
        </w:tc>
      </w:tr>
      <w:tr w:rsidR="00D37050" w14:paraId="4664DD14" w14:textId="77777777" w:rsidTr="00D37050">
        <w:trPr>
          <w:trHeight w:val="397"/>
        </w:trPr>
        <w:tc>
          <w:tcPr>
            <w:tcW w:w="2405" w:type="dxa"/>
            <w:vAlign w:val="center"/>
          </w:tcPr>
          <w:p w14:paraId="5D899259" w14:textId="5AAE9C2E" w:rsidR="00D37050" w:rsidRPr="00D37050" w:rsidRDefault="00D37050" w:rsidP="00D37050">
            <w:pPr>
              <w:spacing w:after="0" w:line="240" w:lineRule="auto"/>
              <w:jc w:val="center"/>
              <w:rPr>
                <w:rFonts w:ascii="Calibri" w:hAnsi="Calibri" w:cs="Calibri"/>
                <w:b/>
                <w:bCs/>
              </w:rPr>
            </w:pPr>
          </w:p>
        </w:tc>
        <w:tc>
          <w:tcPr>
            <w:tcW w:w="6611" w:type="dxa"/>
            <w:vAlign w:val="center"/>
          </w:tcPr>
          <w:p w14:paraId="01C0395A" w14:textId="48E37FE7" w:rsidR="00D37050" w:rsidRPr="00D37050" w:rsidRDefault="00D37050" w:rsidP="00D37050">
            <w:pPr>
              <w:spacing w:after="0" w:line="240" w:lineRule="auto"/>
              <w:rPr>
                <w:rFonts w:ascii="Calibri" w:hAnsi="Calibri" w:cs="Calibri"/>
              </w:rPr>
            </w:pPr>
          </w:p>
        </w:tc>
      </w:tr>
      <w:tr w:rsidR="00D41C2B" w14:paraId="520123A7" w14:textId="77777777" w:rsidTr="00D37050">
        <w:trPr>
          <w:trHeight w:val="397"/>
        </w:trPr>
        <w:tc>
          <w:tcPr>
            <w:tcW w:w="2405" w:type="dxa"/>
            <w:vAlign w:val="center"/>
          </w:tcPr>
          <w:p w14:paraId="4AB92C0C" w14:textId="77777777" w:rsidR="00D41C2B" w:rsidRPr="00D37050" w:rsidRDefault="00D41C2B" w:rsidP="00D37050">
            <w:pPr>
              <w:spacing w:after="0" w:line="240" w:lineRule="auto"/>
              <w:jc w:val="center"/>
              <w:rPr>
                <w:rFonts w:cs="Calibri"/>
                <w:b/>
                <w:bCs/>
              </w:rPr>
            </w:pPr>
          </w:p>
        </w:tc>
        <w:tc>
          <w:tcPr>
            <w:tcW w:w="6611" w:type="dxa"/>
            <w:vAlign w:val="center"/>
          </w:tcPr>
          <w:p w14:paraId="3CDBA978" w14:textId="77777777" w:rsidR="00D41C2B" w:rsidRPr="00D37050" w:rsidRDefault="00D41C2B" w:rsidP="00D37050">
            <w:pPr>
              <w:spacing w:after="0" w:line="240" w:lineRule="auto"/>
              <w:rPr>
                <w:rFonts w:cs="Calibri"/>
              </w:rPr>
            </w:pPr>
          </w:p>
        </w:tc>
      </w:tr>
      <w:tr w:rsidR="00D41C2B" w14:paraId="1C6B1E36" w14:textId="77777777" w:rsidTr="00D37050">
        <w:trPr>
          <w:trHeight w:val="397"/>
        </w:trPr>
        <w:tc>
          <w:tcPr>
            <w:tcW w:w="2405" w:type="dxa"/>
            <w:vAlign w:val="center"/>
          </w:tcPr>
          <w:p w14:paraId="58B7DA20" w14:textId="77777777" w:rsidR="00D41C2B" w:rsidRPr="00D37050" w:rsidRDefault="00D41C2B" w:rsidP="00D37050">
            <w:pPr>
              <w:spacing w:after="0" w:line="240" w:lineRule="auto"/>
              <w:jc w:val="center"/>
              <w:rPr>
                <w:rFonts w:cs="Calibri"/>
                <w:b/>
                <w:bCs/>
              </w:rPr>
            </w:pPr>
          </w:p>
        </w:tc>
        <w:tc>
          <w:tcPr>
            <w:tcW w:w="6611" w:type="dxa"/>
            <w:vAlign w:val="center"/>
          </w:tcPr>
          <w:p w14:paraId="2037EC26" w14:textId="77777777" w:rsidR="00D41C2B" w:rsidRPr="00D37050" w:rsidRDefault="00D41C2B" w:rsidP="00D37050">
            <w:pPr>
              <w:spacing w:after="0" w:line="240" w:lineRule="auto"/>
              <w:rPr>
                <w:rFonts w:cs="Calibri"/>
              </w:rPr>
            </w:pPr>
          </w:p>
        </w:tc>
      </w:tr>
    </w:tbl>
    <w:p w14:paraId="368D956A" w14:textId="7F0CE5A7" w:rsidR="00D37050" w:rsidRDefault="00D37050" w:rsidP="00087304">
      <w:pPr>
        <w:spacing w:after="0" w:line="240" w:lineRule="auto"/>
      </w:pPr>
    </w:p>
    <w:p w14:paraId="2FBC0745" w14:textId="1E2E2B05" w:rsidR="00DA18A7" w:rsidRPr="00863E11" w:rsidRDefault="00DA18A7" w:rsidP="00DA18A7">
      <w:pPr>
        <w:ind w:left="107" w:right="83"/>
        <w:jc w:val="both"/>
        <w:rPr>
          <w:rFonts w:ascii="Arial" w:eastAsia="Calibri" w:hAnsi="Arial" w:cs="Arial"/>
        </w:rPr>
      </w:pPr>
      <w:r w:rsidRPr="00863E11">
        <w:rPr>
          <w:rFonts w:ascii="Arial" w:eastAsia="Calibri" w:hAnsi="Arial" w:cs="Arial"/>
          <w:b/>
        </w:rPr>
        <w:t xml:space="preserve">Important: </w:t>
      </w:r>
      <w:r w:rsidRPr="00863E11">
        <w:rPr>
          <w:rFonts w:ascii="Arial" w:eastAsia="Calibri" w:hAnsi="Arial" w:cs="Arial"/>
          <w:i/>
          <w:iCs/>
        </w:rPr>
        <w:t xml:space="preserve">This document is only valid when viewed on the Trust online area (currently The </w:t>
      </w:r>
      <w:r>
        <w:rPr>
          <w:rFonts w:ascii="Arial" w:eastAsia="Calibri" w:hAnsi="Arial" w:cs="Arial"/>
          <w:i/>
          <w:iCs/>
        </w:rPr>
        <w:t>National College</w:t>
      </w:r>
      <w:r w:rsidRPr="00863E11">
        <w:rPr>
          <w:rFonts w:ascii="Arial" w:eastAsia="Calibri" w:hAnsi="Arial" w:cs="Arial"/>
          <w:i/>
          <w:iCs/>
        </w:rPr>
        <w:t>). If this document has been printed or saved to another location, you must check that the version on your copy matches that of the document online.</w:t>
      </w:r>
    </w:p>
    <w:p w14:paraId="467FCBD8" w14:textId="77777777" w:rsidR="00DA18A7" w:rsidRDefault="00DA18A7" w:rsidP="00087304">
      <w:pPr>
        <w:spacing w:after="0" w:line="240" w:lineRule="auto"/>
      </w:pPr>
    </w:p>
    <w:p w14:paraId="5524D9E8" w14:textId="77777777" w:rsidR="006C5267" w:rsidRDefault="006C5267" w:rsidP="00087304">
      <w:pPr>
        <w:spacing w:after="0" w:line="240" w:lineRule="auto"/>
      </w:pPr>
    </w:p>
    <w:p w14:paraId="02375AF7" w14:textId="77777777" w:rsidR="006C5267" w:rsidRDefault="006C5267" w:rsidP="00087304">
      <w:pPr>
        <w:spacing w:after="0" w:line="240" w:lineRule="auto"/>
      </w:pPr>
    </w:p>
    <w:p w14:paraId="1B6FFEDF" w14:textId="77777777" w:rsidR="006C5267" w:rsidRDefault="006C5267" w:rsidP="00087304">
      <w:pPr>
        <w:spacing w:after="0" w:line="240" w:lineRule="auto"/>
      </w:pPr>
    </w:p>
    <w:p w14:paraId="2E2B83D7" w14:textId="77777777" w:rsidR="006C5267" w:rsidRPr="00CB7E18" w:rsidRDefault="006C5267" w:rsidP="006C5267">
      <w:pPr>
        <w:pStyle w:val="TNCBodyText"/>
        <w:rPr>
          <w:rFonts w:ascii="Arial" w:hAnsi="Arial" w:cs="Arial"/>
          <w:b/>
          <w:bCs/>
          <w:color w:val="0F4761" w:themeColor="accent1" w:themeShade="BF"/>
          <w:sz w:val="32"/>
          <w:szCs w:val="40"/>
        </w:rPr>
      </w:pPr>
      <w:r w:rsidRPr="00CB7E18">
        <w:rPr>
          <w:rFonts w:ascii="Arial" w:hAnsi="Arial" w:cs="Arial"/>
          <w:b/>
          <w:bCs/>
          <w:color w:val="0F4761" w:themeColor="accent1" w:themeShade="BF"/>
          <w:sz w:val="32"/>
          <w:szCs w:val="40"/>
        </w:rPr>
        <w:t>Contents:</w:t>
      </w:r>
    </w:p>
    <w:p w14:paraId="566D9AC8" w14:textId="77777777" w:rsidR="006C5267" w:rsidRPr="00CB7E18" w:rsidRDefault="006C5267" w:rsidP="006C5267">
      <w:pPr>
        <w:pStyle w:val="TNCBodyText"/>
        <w:rPr>
          <w:rFonts w:ascii="Arial" w:hAnsi="Arial" w:cs="Arial"/>
        </w:rPr>
      </w:pPr>
      <w:hyperlink w:anchor="_Statement_of_intent" w:history="1">
        <w:r w:rsidRPr="00CB7E18">
          <w:rPr>
            <w:rStyle w:val="Hyperlink"/>
            <w:rFonts w:ascii="Arial" w:hAnsi="Arial" w:cs="Arial"/>
          </w:rPr>
          <w:t>Statement of intent</w:t>
        </w:r>
      </w:hyperlink>
    </w:p>
    <w:p w14:paraId="45D7D607" w14:textId="77777777" w:rsidR="006C5267" w:rsidRPr="00CB7E18" w:rsidRDefault="006C5267" w:rsidP="006C5267">
      <w:pPr>
        <w:pStyle w:val="TNCBodyText"/>
        <w:numPr>
          <w:ilvl w:val="0"/>
          <w:numId w:val="1"/>
        </w:numPr>
        <w:rPr>
          <w:rFonts w:ascii="Arial" w:hAnsi="Arial" w:cs="Arial"/>
        </w:rPr>
      </w:pPr>
      <w:hyperlink w:anchor="LF" w:history="1">
        <w:r w:rsidRPr="00CB7E18">
          <w:rPr>
            <w:rStyle w:val="Hyperlink"/>
            <w:rFonts w:ascii="Arial" w:hAnsi="Arial" w:cs="Arial"/>
          </w:rPr>
          <w:t>Legal framework</w:t>
        </w:r>
      </w:hyperlink>
      <w:r w:rsidRPr="00CB7E18">
        <w:rPr>
          <w:rFonts w:ascii="Arial" w:hAnsi="Arial" w:cs="Arial"/>
        </w:rPr>
        <w:t xml:space="preserve"> </w:t>
      </w:r>
    </w:p>
    <w:p w14:paraId="043AAF8D" w14:textId="77777777" w:rsidR="006C5267" w:rsidRPr="00CB7E18" w:rsidRDefault="006C5267" w:rsidP="006C5267">
      <w:pPr>
        <w:pStyle w:val="TNCBodyText"/>
        <w:numPr>
          <w:ilvl w:val="0"/>
          <w:numId w:val="1"/>
        </w:numPr>
        <w:rPr>
          <w:rFonts w:ascii="Arial" w:hAnsi="Arial" w:cs="Arial"/>
        </w:rPr>
      </w:pPr>
      <w:hyperlink w:anchor="_Roles_and_responsibilities" w:history="1">
        <w:r w:rsidRPr="00CB7E18">
          <w:rPr>
            <w:rStyle w:val="Hyperlink"/>
            <w:rFonts w:ascii="Arial" w:hAnsi="Arial" w:cs="Arial"/>
          </w:rPr>
          <w:t>Roles and responsibilities</w:t>
        </w:r>
      </w:hyperlink>
    </w:p>
    <w:p w14:paraId="5A6D6201" w14:textId="77777777" w:rsidR="006C5267" w:rsidRPr="00CB7E18" w:rsidRDefault="006C5267" w:rsidP="006C5267">
      <w:pPr>
        <w:pStyle w:val="TNCBodyText"/>
        <w:numPr>
          <w:ilvl w:val="0"/>
          <w:numId w:val="1"/>
        </w:numPr>
        <w:rPr>
          <w:rFonts w:ascii="Arial" w:hAnsi="Arial" w:cs="Arial"/>
        </w:rPr>
      </w:pPr>
      <w:hyperlink w:anchor="barringcriteria" w:history="1">
        <w:r w:rsidRPr="00CB7E18">
          <w:rPr>
            <w:rStyle w:val="Hyperlink"/>
            <w:rFonts w:ascii="Arial" w:hAnsi="Arial" w:cs="Arial"/>
          </w:rPr>
          <w:t>Barring criteria</w:t>
        </w:r>
      </w:hyperlink>
    </w:p>
    <w:p w14:paraId="31559987" w14:textId="77777777" w:rsidR="006C5267" w:rsidRPr="00CB7E18" w:rsidRDefault="006C5267" w:rsidP="006C5267">
      <w:pPr>
        <w:pStyle w:val="TNCBodyText"/>
        <w:numPr>
          <w:ilvl w:val="0"/>
          <w:numId w:val="1"/>
        </w:numPr>
        <w:rPr>
          <w:rFonts w:ascii="Arial" w:hAnsi="Arial" w:cs="Arial"/>
        </w:rPr>
      </w:pPr>
      <w:hyperlink w:anchor="barringprocess" w:history="1">
        <w:r w:rsidRPr="00CB7E18">
          <w:rPr>
            <w:rStyle w:val="Hyperlink"/>
            <w:rFonts w:ascii="Arial" w:hAnsi="Arial" w:cs="Arial"/>
          </w:rPr>
          <w:t>Barring process</w:t>
        </w:r>
      </w:hyperlink>
    </w:p>
    <w:p w14:paraId="3BEFAFBA" w14:textId="77777777" w:rsidR="006C5267" w:rsidRPr="00CB7E18" w:rsidRDefault="006C5267" w:rsidP="006C5267">
      <w:pPr>
        <w:pStyle w:val="TNCBodyText"/>
        <w:numPr>
          <w:ilvl w:val="0"/>
          <w:numId w:val="1"/>
        </w:numPr>
        <w:rPr>
          <w:rFonts w:ascii="Arial" w:hAnsi="Arial" w:cs="Arial"/>
        </w:rPr>
      </w:pPr>
      <w:hyperlink w:anchor="barringappeals" w:history="1">
        <w:r w:rsidRPr="00CB7E18">
          <w:rPr>
            <w:rStyle w:val="Hyperlink"/>
            <w:rFonts w:ascii="Arial" w:hAnsi="Arial" w:cs="Arial"/>
          </w:rPr>
          <w:t>Barring appeals</w:t>
        </w:r>
      </w:hyperlink>
    </w:p>
    <w:p w14:paraId="75354AAF" w14:textId="77777777" w:rsidR="006C5267" w:rsidRPr="00CB7E18" w:rsidRDefault="006C5267" w:rsidP="006C5267">
      <w:pPr>
        <w:pStyle w:val="TNCBodyText"/>
        <w:numPr>
          <w:ilvl w:val="0"/>
          <w:numId w:val="1"/>
        </w:numPr>
        <w:rPr>
          <w:rFonts w:ascii="Arial" w:hAnsi="Arial" w:cs="Arial"/>
        </w:rPr>
      </w:pPr>
      <w:hyperlink w:anchor="monitoring" w:history="1">
        <w:r w:rsidRPr="00CB7E18">
          <w:rPr>
            <w:rStyle w:val="Hyperlink"/>
            <w:rFonts w:ascii="Arial" w:hAnsi="Arial" w:cs="Arial"/>
          </w:rPr>
          <w:t>Monitoring and review</w:t>
        </w:r>
      </w:hyperlink>
    </w:p>
    <w:p w14:paraId="187F0CCB" w14:textId="77777777" w:rsidR="006C5267" w:rsidRPr="00CB7E18" w:rsidRDefault="006C5267" w:rsidP="006C5267">
      <w:pPr>
        <w:rPr>
          <w:rFonts w:ascii="Arial" w:hAnsi="Arial" w:cs="Arial"/>
        </w:rPr>
      </w:pPr>
      <w:r w:rsidRPr="00CB7E18">
        <w:rPr>
          <w:rFonts w:ascii="Arial" w:hAnsi="Arial" w:cs="Arial"/>
        </w:rPr>
        <w:br w:type="page"/>
      </w:r>
    </w:p>
    <w:p w14:paraId="5D1A8CE7" w14:textId="77777777" w:rsidR="006C5267" w:rsidRPr="00CB7E18" w:rsidRDefault="006C5267" w:rsidP="006C5267">
      <w:pPr>
        <w:pStyle w:val="TNCBodyText"/>
        <w:rPr>
          <w:rFonts w:ascii="Arial" w:hAnsi="Arial" w:cs="Arial"/>
          <w:b/>
          <w:bCs/>
          <w:color w:val="0F4761" w:themeColor="accent1" w:themeShade="BF"/>
          <w:sz w:val="32"/>
          <w:szCs w:val="40"/>
        </w:rPr>
      </w:pPr>
      <w:bookmarkStart w:id="0" w:name="_Statement_of_intent"/>
      <w:bookmarkEnd w:id="0"/>
      <w:r w:rsidRPr="00CB7E18">
        <w:rPr>
          <w:rFonts w:ascii="Arial" w:hAnsi="Arial" w:cs="Arial"/>
          <w:b/>
          <w:bCs/>
          <w:color w:val="0F4761" w:themeColor="accent1" w:themeShade="BF"/>
          <w:sz w:val="32"/>
          <w:szCs w:val="40"/>
        </w:rPr>
        <w:lastRenderedPageBreak/>
        <w:t>Statement of intent</w:t>
      </w:r>
    </w:p>
    <w:p w14:paraId="5E9C6CDB" w14:textId="41533111" w:rsidR="006C5267" w:rsidRPr="00CB7E18" w:rsidRDefault="006C5267" w:rsidP="006C5267">
      <w:pPr>
        <w:pStyle w:val="TNCBodyText"/>
        <w:rPr>
          <w:rFonts w:ascii="Arial" w:hAnsi="Arial" w:cs="Arial"/>
        </w:rPr>
      </w:pPr>
      <w:r w:rsidRPr="00CB7E18">
        <w:rPr>
          <w:rFonts w:ascii="Arial" w:hAnsi="Arial" w:cs="Arial"/>
        </w:rPr>
        <w:t xml:space="preserve">While </w:t>
      </w:r>
      <w:r w:rsidR="00E74FAA" w:rsidRPr="00E74FAA">
        <w:rPr>
          <w:rFonts w:ascii="Arial" w:hAnsi="Arial" w:cs="Arial"/>
          <w:color w:val="000000" w:themeColor="text1"/>
        </w:rPr>
        <w:t>Laneshaw Bridge Primary School</w:t>
      </w:r>
      <w:r w:rsidRPr="00E74FAA">
        <w:rPr>
          <w:rFonts w:ascii="Arial" w:hAnsi="Arial" w:cs="Arial"/>
          <w:color w:val="000000" w:themeColor="text1"/>
        </w:rPr>
        <w:t xml:space="preserve"> </w:t>
      </w:r>
      <w:r w:rsidRPr="00CB7E18">
        <w:rPr>
          <w:rFonts w:ascii="Arial" w:hAnsi="Arial" w:cs="Arial"/>
        </w:rPr>
        <w:t>is responsible for fulfilling a public function of providing education and maintaining an open and welcoming environment to learners, parents and the community, the school remains a private place in which action needs to be taken to ensure it is safe for pupils, staff, and other members of the community.</w:t>
      </w:r>
    </w:p>
    <w:p w14:paraId="3208FFD3" w14:textId="77777777" w:rsidR="006C5267" w:rsidRPr="00CB7E18" w:rsidRDefault="006C5267" w:rsidP="006C5267">
      <w:pPr>
        <w:pStyle w:val="TNCBodyText"/>
        <w:rPr>
          <w:rFonts w:ascii="Arial" w:hAnsi="Arial" w:cs="Arial"/>
        </w:rPr>
      </w:pPr>
      <w:r w:rsidRPr="00CB7E18">
        <w:rPr>
          <w:rFonts w:ascii="Arial" w:hAnsi="Arial" w:cs="Arial"/>
        </w:rPr>
        <w:t>This policy has been created to reinforce the following:</w:t>
      </w:r>
    </w:p>
    <w:p w14:paraId="1E4B1B92" w14:textId="77777777" w:rsidR="006C5267" w:rsidRPr="00CB7E18" w:rsidRDefault="006C5267" w:rsidP="006C5267">
      <w:pPr>
        <w:pStyle w:val="TNCBodyText"/>
        <w:numPr>
          <w:ilvl w:val="0"/>
          <w:numId w:val="4"/>
        </w:numPr>
        <w:rPr>
          <w:rFonts w:ascii="Arial" w:hAnsi="Arial" w:cs="Arial"/>
        </w:rPr>
      </w:pPr>
      <w:r w:rsidRPr="00CB7E18">
        <w:rPr>
          <w:rFonts w:ascii="Arial" w:hAnsi="Arial" w:cs="Arial"/>
        </w:rPr>
        <w:t>The expected conduct of anyone who comes onto the school grounds</w:t>
      </w:r>
    </w:p>
    <w:p w14:paraId="426D6251" w14:textId="77777777" w:rsidR="006C5267" w:rsidRPr="00CB7E18" w:rsidRDefault="006C5267" w:rsidP="006C5267">
      <w:pPr>
        <w:pStyle w:val="TNCBodyText"/>
        <w:numPr>
          <w:ilvl w:val="0"/>
          <w:numId w:val="4"/>
        </w:numPr>
        <w:rPr>
          <w:rFonts w:ascii="Arial" w:hAnsi="Arial" w:cs="Arial"/>
        </w:rPr>
      </w:pPr>
      <w:r w:rsidRPr="00CB7E18">
        <w:rPr>
          <w:rFonts w:ascii="Arial" w:hAnsi="Arial" w:cs="Arial"/>
        </w:rPr>
        <w:t>The viable reasons for an individual coming onto the premises</w:t>
      </w:r>
    </w:p>
    <w:p w14:paraId="796192B1" w14:textId="77777777" w:rsidR="006C5267" w:rsidRPr="00CB7E18" w:rsidRDefault="006C5267" w:rsidP="006C5267">
      <w:pPr>
        <w:pStyle w:val="TNCBodyText"/>
        <w:numPr>
          <w:ilvl w:val="0"/>
          <w:numId w:val="4"/>
        </w:numPr>
        <w:rPr>
          <w:rFonts w:ascii="Arial" w:hAnsi="Arial" w:cs="Arial"/>
        </w:rPr>
      </w:pPr>
      <w:r w:rsidRPr="00CB7E18">
        <w:rPr>
          <w:rFonts w:ascii="Arial" w:hAnsi="Arial" w:cs="Arial"/>
        </w:rPr>
        <w:t>What action the school will take if an individual’s behaviour is a cause for concern</w:t>
      </w:r>
    </w:p>
    <w:p w14:paraId="2F458544" w14:textId="77777777" w:rsidR="006C5267" w:rsidRPr="00CB7E18" w:rsidRDefault="006C5267" w:rsidP="006C5267">
      <w:pPr>
        <w:pStyle w:val="TNCBodyText"/>
        <w:rPr>
          <w:rFonts w:ascii="Arial" w:hAnsi="Arial" w:cs="Arial"/>
        </w:rPr>
      </w:pPr>
      <w:r w:rsidRPr="00CB7E18">
        <w:rPr>
          <w:rFonts w:ascii="Arial" w:hAnsi="Arial" w:cs="Arial"/>
        </w:rPr>
        <w:t>For the purposes of this policy, the term ‘individual’ is used to describe any person who is not a member of staff or pupil but is present on the school grounds, e.g. parents and visitors.</w:t>
      </w:r>
    </w:p>
    <w:p w14:paraId="19164A03" w14:textId="77777777" w:rsidR="006C5267" w:rsidRPr="00CB7E18" w:rsidRDefault="006C5267" w:rsidP="006C5267">
      <w:pPr>
        <w:pStyle w:val="TNCBodyText"/>
        <w:rPr>
          <w:rFonts w:ascii="Arial" w:hAnsi="Arial" w:cs="Arial"/>
          <w:b/>
          <w:bCs/>
        </w:rPr>
      </w:pPr>
    </w:p>
    <w:p w14:paraId="0722136F" w14:textId="77777777" w:rsidR="006C5267" w:rsidRPr="00CB7E18" w:rsidRDefault="006C5267" w:rsidP="006C5267">
      <w:pPr>
        <w:pStyle w:val="TNCBodyText"/>
        <w:rPr>
          <w:rFonts w:ascii="Arial" w:hAnsi="Arial" w:cs="Arial"/>
        </w:rPr>
      </w:pPr>
    </w:p>
    <w:p w14:paraId="41504198" w14:textId="77777777" w:rsidR="006C5267" w:rsidRPr="00CB7E18" w:rsidRDefault="006C5267" w:rsidP="006C5267">
      <w:pPr>
        <w:rPr>
          <w:rFonts w:ascii="Arial" w:hAnsi="Arial" w:cs="Arial"/>
        </w:rPr>
      </w:pPr>
      <w:r w:rsidRPr="00CB7E18">
        <w:rPr>
          <w:rFonts w:ascii="Arial" w:hAnsi="Arial" w:cs="Arial"/>
        </w:rPr>
        <w:br w:type="page"/>
      </w:r>
    </w:p>
    <w:p w14:paraId="3EF14DDE" w14:textId="77777777" w:rsidR="006C5267" w:rsidRPr="00CB7E18" w:rsidRDefault="006C5267" w:rsidP="006C5267">
      <w:pPr>
        <w:pStyle w:val="Heading2"/>
        <w:numPr>
          <w:ilvl w:val="0"/>
          <w:numId w:val="2"/>
        </w:numPr>
        <w:spacing w:before="200" w:after="200"/>
        <w:ind w:left="425" w:hanging="425"/>
        <w:rPr>
          <w:rFonts w:ascii="Arial" w:hAnsi="Arial" w:cs="Arial"/>
        </w:rPr>
      </w:pPr>
      <w:bookmarkStart w:id="1" w:name="LF"/>
      <w:r w:rsidRPr="00CB7E18">
        <w:rPr>
          <w:rFonts w:ascii="Arial" w:hAnsi="Arial" w:cs="Arial"/>
        </w:rPr>
        <w:lastRenderedPageBreak/>
        <w:t xml:space="preserve">Legal framework </w:t>
      </w:r>
    </w:p>
    <w:bookmarkEnd w:id="1"/>
    <w:p w14:paraId="4A451BD5" w14:textId="77777777" w:rsidR="006C5267" w:rsidRPr="00CB7E18" w:rsidRDefault="006C5267" w:rsidP="006C5267">
      <w:pPr>
        <w:pStyle w:val="TNCBodyText"/>
        <w:spacing w:after="0"/>
        <w:rPr>
          <w:rFonts w:ascii="Arial" w:hAnsi="Arial" w:cs="Arial"/>
        </w:rPr>
      </w:pPr>
      <w:r w:rsidRPr="00CB7E18">
        <w:rPr>
          <w:rFonts w:ascii="Arial" w:hAnsi="Arial" w:cs="Arial"/>
        </w:rPr>
        <w:t>Schools are private property. People do not have an automatic right to enter. Parents have an ‘implied licence’ to come on to school premises at certain times, for instance:</w:t>
      </w:r>
    </w:p>
    <w:p w14:paraId="5849A094" w14:textId="77777777" w:rsidR="006C5267" w:rsidRPr="00CB7E18" w:rsidRDefault="006C5267" w:rsidP="006C5267">
      <w:pPr>
        <w:pStyle w:val="TNCBodyText"/>
        <w:numPr>
          <w:ilvl w:val="0"/>
          <w:numId w:val="13"/>
        </w:numPr>
        <w:spacing w:before="0" w:after="0"/>
        <w:rPr>
          <w:rFonts w:ascii="Arial" w:hAnsi="Arial" w:cs="Arial"/>
        </w:rPr>
      </w:pPr>
      <w:r w:rsidRPr="00CB7E18">
        <w:rPr>
          <w:rFonts w:ascii="Arial" w:hAnsi="Arial" w:cs="Arial"/>
        </w:rPr>
        <w:t>for appointments</w:t>
      </w:r>
    </w:p>
    <w:p w14:paraId="1BA244AE" w14:textId="77777777" w:rsidR="006C5267" w:rsidRPr="00CB7E18" w:rsidRDefault="006C5267" w:rsidP="006C5267">
      <w:pPr>
        <w:pStyle w:val="TNCBodyText"/>
        <w:numPr>
          <w:ilvl w:val="0"/>
          <w:numId w:val="13"/>
        </w:numPr>
        <w:spacing w:before="0" w:after="0"/>
        <w:rPr>
          <w:rFonts w:ascii="Arial" w:hAnsi="Arial" w:cs="Arial"/>
        </w:rPr>
      </w:pPr>
      <w:r w:rsidRPr="00CB7E18">
        <w:rPr>
          <w:rFonts w:ascii="Arial" w:hAnsi="Arial" w:cs="Arial"/>
        </w:rPr>
        <w:t>to attend a school event</w:t>
      </w:r>
    </w:p>
    <w:p w14:paraId="3B3184CD" w14:textId="77777777" w:rsidR="006C5267" w:rsidRPr="00CB7E18" w:rsidRDefault="006C5267" w:rsidP="006C5267">
      <w:pPr>
        <w:pStyle w:val="TNCBodyText"/>
        <w:numPr>
          <w:ilvl w:val="0"/>
          <w:numId w:val="13"/>
        </w:numPr>
        <w:spacing w:before="0" w:after="0"/>
        <w:rPr>
          <w:rFonts w:ascii="Arial" w:hAnsi="Arial" w:cs="Arial"/>
        </w:rPr>
      </w:pPr>
      <w:r w:rsidRPr="00CB7E18">
        <w:rPr>
          <w:rFonts w:ascii="Arial" w:hAnsi="Arial" w:cs="Arial"/>
        </w:rPr>
        <w:t>to drop off or pick up younger children</w:t>
      </w:r>
    </w:p>
    <w:p w14:paraId="75C09226" w14:textId="77777777" w:rsidR="006C5267" w:rsidRPr="00CB7E18" w:rsidRDefault="006C5267" w:rsidP="006C5267">
      <w:pPr>
        <w:pStyle w:val="TNCBodyText"/>
        <w:spacing w:after="0"/>
        <w:rPr>
          <w:rFonts w:ascii="Arial" w:hAnsi="Arial" w:cs="Arial"/>
        </w:rPr>
      </w:pPr>
    </w:p>
    <w:p w14:paraId="77B3A84C" w14:textId="77777777" w:rsidR="006C5267" w:rsidRPr="00CB7E18" w:rsidRDefault="006C5267" w:rsidP="006C5267">
      <w:pPr>
        <w:pStyle w:val="TNCBodyText"/>
        <w:spacing w:after="0"/>
        <w:rPr>
          <w:rFonts w:ascii="Arial" w:hAnsi="Arial" w:cs="Arial"/>
        </w:rPr>
      </w:pPr>
      <w:r w:rsidRPr="00CB7E18">
        <w:rPr>
          <w:rFonts w:ascii="Arial" w:hAnsi="Arial" w:cs="Arial"/>
        </w:rPr>
        <w:t xml:space="preserve">This policy has due regard to all relevant legislation and statutory guidance including, but not limited to, the following: </w:t>
      </w:r>
    </w:p>
    <w:p w14:paraId="424C6C69" w14:textId="77777777" w:rsidR="006C5267" w:rsidRPr="00CB7E18" w:rsidRDefault="006C5267" w:rsidP="006C5267">
      <w:pPr>
        <w:pStyle w:val="TNCBodyText"/>
        <w:numPr>
          <w:ilvl w:val="0"/>
          <w:numId w:val="3"/>
        </w:numPr>
        <w:spacing w:before="0" w:after="0"/>
        <w:rPr>
          <w:rFonts w:ascii="Arial" w:hAnsi="Arial" w:cs="Arial"/>
        </w:rPr>
      </w:pPr>
      <w:r w:rsidRPr="00CB7E18">
        <w:rPr>
          <w:rFonts w:ascii="Arial" w:hAnsi="Arial" w:cs="Arial"/>
        </w:rPr>
        <w:t>DfE ‘Keeping children safe in education’ current version</w:t>
      </w:r>
    </w:p>
    <w:p w14:paraId="08E7DB47" w14:textId="77777777" w:rsidR="006C5267" w:rsidRPr="00CB7E18" w:rsidRDefault="006C5267" w:rsidP="006C5267">
      <w:pPr>
        <w:pStyle w:val="TNCBodyText"/>
        <w:numPr>
          <w:ilvl w:val="0"/>
          <w:numId w:val="3"/>
        </w:numPr>
        <w:spacing w:before="0" w:after="0"/>
        <w:rPr>
          <w:rFonts w:ascii="Arial" w:hAnsi="Arial" w:cs="Arial"/>
        </w:rPr>
      </w:pPr>
      <w:r w:rsidRPr="00CB7E18">
        <w:rPr>
          <w:rFonts w:ascii="Arial" w:hAnsi="Arial" w:cs="Arial"/>
        </w:rPr>
        <w:t>DfE ‘Best practice guidance for school complaints procedures 2020’</w:t>
      </w:r>
    </w:p>
    <w:p w14:paraId="41D3F22F" w14:textId="77777777" w:rsidR="006C5267" w:rsidRPr="00CB7E18" w:rsidRDefault="006C5267" w:rsidP="006C5267">
      <w:pPr>
        <w:pStyle w:val="TNCBodyText"/>
        <w:numPr>
          <w:ilvl w:val="0"/>
          <w:numId w:val="3"/>
        </w:numPr>
        <w:spacing w:before="0" w:after="0"/>
        <w:rPr>
          <w:rFonts w:ascii="Arial" w:hAnsi="Arial" w:cs="Arial"/>
        </w:rPr>
      </w:pPr>
      <w:r w:rsidRPr="00CB7E18">
        <w:rPr>
          <w:rFonts w:ascii="Arial" w:hAnsi="Arial" w:cs="Arial"/>
        </w:rPr>
        <w:t>DfE ‘School and college security’</w:t>
      </w:r>
    </w:p>
    <w:p w14:paraId="7AFEC22C" w14:textId="77777777" w:rsidR="006C5267" w:rsidRPr="00CB7E18" w:rsidRDefault="006C5267" w:rsidP="006C5267">
      <w:pPr>
        <w:pStyle w:val="TNCBodyText"/>
        <w:numPr>
          <w:ilvl w:val="0"/>
          <w:numId w:val="3"/>
        </w:numPr>
        <w:spacing w:before="0" w:after="0"/>
        <w:rPr>
          <w:rFonts w:ascii="Arial" w:hAnsi="Arial" w:cs="Arial"/>
        </w:rPr>
      </w:pPr>
      <w:r w:rsidRPr="00CB7E18">
        <w:rPr>
          <w:rFonts w:ascii="Arial" w:hAnsi="Arial" w:cs="Arial"/>
        </w:rPr>
        <w:t>DfE ‘Controlling access to school premises’</w:t>
      </w:r>
    </w:p>
    <w:p w14:paraId="1A6C0EAB" w14:textId="77777777" w:rsidR="006C5267" w:rsidRPr="00CB7E18" w:rsidRDefault="006C5267" w:rsidP="006C5267">
      <w:pPr>
        <w:pStyle w:val="TNCBodyText"/>
        <w:numPr>
          <w:ilvl w:val="0"/>
          <w:numId w:val="3"/>
        </w:numPr>
        <w:spacing w:before="0" w:after="0"/>
        <w:rPr>
          <w:rFonts w:ascii="Arial" w:hAnsi="Arial" w:cs="Arial"/>
        </w:rPr>
      </w:pPr>
      <w:r w:rsidRPr="00CB7E18">
        <w:rPr>
          <w:rFonts w:ascii="Arial" w:hAnsi="Arial" w:cs="Arial"/>
        </w:rPr>
        <w:t>Education Act 1996</w:t>
      </w:r>
    </w:p>
    <w:p w14:paraId="3E7B7330" w14:textId="77777777" w:rsidR="006C5267" w:rsidRPr="00CB7E18" w:rsidRDefault="006C5267" w:rsidP="006C5267">
      <w:pPr>
        <w:pStyle w:val="TNCBodyText"/>
        <w:spacing w:after="0"/>
        <w:rPr>
          <w:rFonts w:ascii="Arial" w:hAnsi="Arial" w:cs="Arial"/>
        </w:rPr>
      </w:pPr>
      <w:r w:rsidRPr="00CB7E18">
        <w:rPr>
          <w:rFonts w:ascii="Arial" w:hAnsi="Arial" w:cs="Arial"/>
        </w:rPr>
        <w:t>This policy operates in conjunction with the following trust and school policies:</w:t>
      </w:r>
    </w:p>
    <w:p w14:paraId="20FED3B4" w14:textId="77777777" w:rsidR="006C5267" w:rsidRPr="00CB7E18" w:rsidRDefault="006C5267" w:rsidP="006C5267">
      <w:pPr>
        <w:pStyle w:val="TNCBodyText"/>
        <w:numPr>
          <w:ilvl w:val="0"/>
          <w:numId w:val="3"/>
        </w:numPr>
        <w:spacing w:before="0" w:after="0"/>
        <w:rPr>
          <w:rFonts w:ascii="Arial" w:hAnsi="Arial" w:cs="Arial"/>
        </w:rPr>
      </w:pPr>
      <w:r w:rsidRPr="00CB7E18">
        <w:rPr>
          <w:rFonts w:ascii="Arial" w:hAnsi="Arial" w:cs="Arial"/>
        </w:rPr>
        <w:t>Child Protection and Safeguarding Policy</w:t>
      </w:r>
    </w:p>
    <w:p w14:paraId="6B0C5D01" w14:textId="77777777" w:rsidR="006C5267" w:rsidRPr="00CB7E18" w:rsidRDefault="006C5267" w:rsidP="006C5267">
      <w:pPr>
        <w:pStyle w:val="TNCBodyText"/>
        <w:numPr>
          <w:ilvl w:val="0"/>
          <w:numId w:val="3"/>
        </w:numPr>
        <w:spacing w:before="0" w:after="0"/>
        <w:rPr>
          <w:rFonts w:ascii="Arial" w:hAnsi="Arial" w:cs="Arial"/>
        </w:rPr>
      </w:pPr>
      <w:r w:rsidRPr="00CB7E18">
        <w:rPr>
          <w:rFonts w:ascii="Arial" w:hAnsi="Arial" w:cs="Arial"/>
        </w:rPr>
        <w:t>Acceptable Behaviour Policy for Parents, Carers and Visitors</w:t>
      </w:r>
    </w:p>
    <w:p w14:paraId="5458ED8B" w14:textId="77777777" w:rsidR="006C5267" w:rsidRPr="00CB7E18" w:rsidRDefault="006C5267" w:rsidP="006C5267">
      <w:pPr>
        <w:pStyle w:val="TNCBodyText"/>
        <w:numPr>
          <w:ilvl w:val="0"/>
          <w:numId w:val="3"/>
        </w:numPr>
        <w:spacing w:before="0" w:after="0"/>
        <w:rPr>
          <w:rFonts w:ascii="Arial" w:hAnsi="Arial" w:cs="Arial"/>
        </w:rPr>
      </w:pPr>
      <w:r w:rsidRPr="00CB7E18">
        <w:rPr>
          <w:rFonts w:ascii="Arial" w:hAnsi="Arial" w:cs="Arial"/>
        </w:rPr>
        <w:t>Complaints Policy</w:t>
      </w:r>
    </w:p>
    <w:p w14:paraId="729DC2D6" w14:textId="77777777" w:rsidR="006C5267" w:rsidRPr="00CB7E18" w:rsidRDefault="006C5267" w:rsidP="006C5267">
      <w:pPr>
        <w:pStyle w:val="TNCBodyText"/>
        <w:spacing w:before="0" w:after="0"/>
        <w:ind w:left="720"/>
        <w:rPr>
          <w:rFonts w:ascii="Arial" w:hAnsi="Arial" w:cs="Arial"/>
        </w:rPr>
      </w:pPr>
    </w:p>
    <w:p w14:paraId="294887AD" w14:textId="77777777" w:rsidR="006C5267" w:rsidRPr="00CB7E18" w:rsidRDefault="006C5267" w:rsidP="006C5267">
      <w:pPr>
        <w:pStyle w:val="Heading2"/>
        <w:numPr>
          <w:ilvl w:val="0"/>
          <w:numId w:val="2"/>
        </w:numPr>
        <w:spacing w:before="200" w:after="200"/>
        <w:ind w:left="425" w:hanging="425"/>
        <w:rPr>
          <w:rFonts w:ascii="Arial" w:hAnsi="Arial" w:cs="Arial"/>
        </w:rPr>
      </w:pPr>
      <w:bookmarkStart w:id="2" w:name="roles"/>
      <w:bookmarkStart w:id="3" w:name="_Roles_and_responsibilities"/>
      <w:bookmarkEnd w:id="2"/>
      <w:bookmarkEnd w:id="3"/>
      <w:r w:rsidRPr="00CB7E18">
        <w:rPr>
          <w:rFonts w:ascii="Arial" w:hAnsi="Arial" w:cs="Arial"/>
        </w:rPr>
        <w:t>Roles and responsibilities</w:t>
      </w:r>
    </w:p>
    <w:p w14:paraId="5E89BC1B" w14:textId="77777777" w:rsidR="006C5267" w:rsidRPr="00CB7E18" w:rsidRDefault="006C5267" w:rsidP="006C5267">
      <w:pPr>
        <w:pStyle w:val="TNCBodyText"/>
        <w:spacing w:after="0"/>
        <w:rPr>
          <w:rFonts w:ascii="Arial" w:hAnsi="Arial" w:cs="Arial"/>
        </w:rPr>
      </w:pPr>
      <w:r w:rsidRPr="00CB7E18">
        <w:rPr>
          <w:rFonts w:ascii="Arial" w:hAnsi="Arial" w:cs="Arial"/>
        </w:rPr>
        <w:t>The headteacher is responsible for:</w:t>
      </w:r>
    </w:p>
    <w:p w14:paraId="650243DA" w14:textId="77777777" w:rsidR="006C5267" w:rsidRPr="00CB7E18" w:rsidRDefault="006C5267" w:rsidP="006C5267">
      <w:pPr>
        <w:pStyle w:val="TNCBodyText"/>
        <w:numPr>
          <w:ilvl w:val="0"/>
          <w:numId w:val="5"/>
        </w:numPr>
        <w:spacing w:before="0" w:after="0"/>
        <w:rPr>
          <w:rFonts w:ascii="Arial" w:hAnsi="Arial" w:cs="Arial"/>
        </w:rPr>
      </w:pPr>
      <w:r w:rsidRPr="00CB7E18">
        <w:rPr>
          <w:rFonts w:ascii="Arial" w:hAnsi="Arial" w:cs="Arial"/>
        </w:rPr>
        <w:t>Ensuring that the school has appropriate security systems in place in line with trust expectations.</w:t>
      </w:r>
    </w:p>
    <w:p w14:paraId="22F1FF8D" w14:textId="77777777" w:rsidR="006C5267" w:rsidRPr="00CB7E18" w:rsidRDefault="006C5267" w:rsidP="006C5267">
      <w:pPr>
        <w:pStyle w:val="TNCBodyText"/>
        <w:numPr>
          <w:ilvl w:val="0"/>
          <w:numId w:val="5"/>
        </w:numPr>
        <w:spacing w:before="0" w:after="0"/>
        <w:rPr>
          <w:rFonts w:ascii="Arial" w:hAnsi="Arial" w:cs="Arial"/>
        </w:rPr>
      </w:pPr>
      <w:r w:rsidRPr="00CB7E18">
        <w:rPr>
          <w:rFonts w:ascii="Arial" w:hAnsi="Arial" w:cs="Arial"/>
        </w:rPr>
        <w:t>Communicating with individuals regarding decisions to bar them from the school premises.</w:t>
      </w:r>
    </w:p>
    <w:p w14:paraId="38E599A4" w14:textId="77777777" w:rsidR="006C5267" w:rsidRPr="00CB7E18" w:rsidRDefault="006C5267" w:rsidP="006C5267">
      <w:pPr>
        <w:pStyle w:val="TNCBodyText"/>
        <w:numPr>
          <w:ilvl w:val="0"/>
          <w:numId w:val="5"/>
        </w:numPr>
        <w:spacing w:before="0" w:after="0"/>
        <w:rPr>
          <w:rFonts w:ascii="Arial" w:hAnsi="Arial" w:cs="Arial"/>
        </w:rPr>
      </w:pPr>
      <w:r w:rsidRPr="00CB7E18">
        <w:rPr>
          <w:rFonts w:ascii="Arial" w:hAnsi="Arial" w:cs="Arial"/>
        </w:rPr>
        <w:t>Setting out the rules for access to the school premises and what will happen if these rules are broken.</w:t>
      </w:r>
    </w:p>
    <w:p w14:paraId="5B44051D" w14:textId="77777777" w:rsidR="006C5267" w:rsidRDefault="006C5267" w:rsidP="006C5267">
      <w:pPr>
        <w:pStyle w:val="TNCBodyText"/>
        <w:numPr>
          <w:ilvl w:val="0"/>
          <w:numId w:val="5"/>
        </w:numPr>
        <w:spacing w:before="0" w:after="0"/>
        <w:rPr>
          <w:rFonts w:ascii="Arial" w:hAnsi="Arial" w:cs="Arial"/>
        </w:rPr>
      </w:pPr>
      <w:r w:rsidRPr="00CB7E18">
        <w:rPr>
          <w:rFonts w:ascii="Arial" w:hAnsi="Arial" w:cs="Arial"/>
        </w:rPr>
        <w:t>Writing to individuals to warn them if their conduct violates the barring criteria.</w:t>
      </w:r>
    </w:p>
    <w:p w14:paraId="5B850FE3" w14:textId="77777777" w:rsidR="006C5267" w:rsidRPr="00CB7E18" w:rsidRDefault="006C5267" w:rsidP="006C5267">
      <w:pPr>
        <w:pStyle w:val="TNCBodyText"/>
        <w:numPr>
          <w:ilvl w:val="0"/>
          <w:numId w:val="5"/>
        </w:numPr>
        <w:spacing w:before="0" w:after="0"/>
        <w:rPr>
          <w:rFonts w:ascii="Arial" w:hAnsi="Arial" w:cs="Arial"/>
        </w:rPr>
      </w:pPr>
      <w:r>
        <w:rPr>
          <w:rFonts w:ascii="Arial" w:hAnsi="Arial" w:cs="Arial"/>
        </w:rPr>
        <w:t>Communicating all incidences of warnings to people that they may be barred and actual decisions to bar someone to the Head of Governance.</w:t>
      </w:r>
    </w:p>
    <w:p w14:paraId="1ABF55F4" w14:textId="77777777" w:rsidR="006C5267" w:rsidRPr="00CB7E18" w:rsidRDefault="006C5267" w:rsidP="006C5267">
      <w:pPr>
        <w:pStyle w:val="TNCBodyText"/>
        <w:numPr>
          <w:ilvl w:val="0"/>
          <w:numId w:val="5"/>
        </w:numPr>
        <w:spacing w:before="0" w:after="0"/>
        <w:rPr>
          <w:rFonts w:ascii="Arial" w:hAnsi="Arial" w:cs="Arial"/>
        </w:rPr>
      </w:pPr>
      <w:r w:rsidRPr="00CB7E18">
        <w:rPr>
          <w:rFonts w:ascii="Arial" w:hAnsi="Arial" w:cs="Arial"/>
        </w:rPr>
        <w:t>Ensuring this policy is implemented effectively.</w:t>
      </w:r>
    </w:p>
    <w:p w14:paraId="395126FE" w14:textId="77777777" w:rsidR="006C5267" w:rsidRPr="00CB7E18" w:rsidRDefault="006C5267" w:rsidP="006C5267">
      <w:pPr>
        <w:pStyle w:val="TNCBodyText"/>
        <w:numPr>
          <w:ilvl w:val="0"/>
          <w:numId w:val="5"/>
        </w:numPr>
        <w:spacing w:before="0" w:after="0"/>
        <w:rPr>
          <w:rFonts w:ascii="Arial" w:hAnsi="Arial" w:cs="Arial"/>
        </w:rPr>
      </w:pPr>
      <w:r w:rsidRPr="00CB7E18">
        <w:rPr>
          <w:rFonts w:ascii="Arial" w:hAnsi="Arial" w:cs="Arial"/>
        </w:rPr>
        <w:t>Developing plans and procedures to manage and respond to any threats.</w:t>
      </w:r>
    </w:p>
    <w:p w14:paraId="79519E55" w14:textId="77777777" w:rsidR="006C5267" w:rsidRPr="00CB7E18" w:rsidRDefault="006C5267" w:rsidP="006C5267">
      <w:pPr>
        <w:pStyle w:val="TNCBodyText"/>
        <w:spacing w:after="0"/>
        <w:rPr>
          <w:rFonts w:ascii="Arial" w:hAnsi="Arial" w:cs="Arial"/>
        </w:rPr>
      </w:pPr>
      <w:r w:rsidRPr="00CB7E18">
        <w:rPr>
          <w:rFonts w:ascii="Arial" w:hAnsi="Arial" w:cs="Arial"/>
        </w:rPr>
        <w:t>The CEO or their representative is responsible for:</w:t>
      </w:r>
    </w:p>
    <w:p w14:paraId="4B342EB2" w14:textId="77777777" w:rsidR="006C5267" w:rsidRPr="00CB7E18" w:rsidRDefault="006C5267" w:rsidP="006C5267">
      <w:pPr>
        <w:pStyle w:val="TNCBodyText"/>
        <w:numPr>
          <w:ilvl w:val="0"/>
          <w:numId w:val="6"/>
        </w:numPr>
        <w:spacing w:before="0" w:after="0"/>
        <w:rPr>
          <w:rFonts w:ascii="Arial" w:hAnsi="Arial" w:cs="Arial"/>
        </w:rPr>
      </w:pPr>
      <w:r w:rsidRPr="00CB7E18">
        <w:rPr>
          <w:rFonts w:ascii="Arial" w:hAnsi="Arial" w:cs="Arial"/>
        </w:rPr>
        <w:t>Ensuring school policies relevant to the security of the school site and ensuring the safety of staff and pupils are in place.</w:t>
      </w:r>
    </w:p>
    <w:p w14:paraId="2BF03A68" w14:textId="77777777" w:rsidR="006C5267" w:rsidRDefault="006C5267" w:rsidP="006C5267">
      <w:pPr>
        <w:pStyle w:val="TNCBodyText"/>
        <w:numPr>
          <w:ilvl w:val="0"/>
          <w:numId w:val="6"/>
        </w:numPr>
        <w:spacing w:before="0" w:after="0"/>
        <w:rPr>
          <w:rFonts w:ascii="Arial" w:hAnsi="Arial" w:cs="Arial"/>
        </w:rPr>
      </w:pPr>
      <w:r w:rsidRPr="00CB7E18">
        <w:rPr>
          <w:rFonts w:ascii="Arial" w:hAnsi="Arial" w:cs="Arial"/>
        </w:rPr>
        <w:t>Reviewing the headteacher’s decision to bar or not bar an individual from the premises.</w:t>
      </w:r>
    </w:p>
    <w:p w14:paraId="39FD7628" w14:textId="77777777" w:rsidR="006C5267" w:rsidRPr="00CB7E18" w:rsidRDefault="006C5267" w:rsidP="006C5267">
      <w:pPr>
        <w:pStyle w:val="TNCBodyText"/>
        <w:numPr>
          <w:ilvl w:val="0"/>
          <w:numId w:val="6"/>
        </w:numPr>
        <w:spacing w:before="0" w:after="0"/>
        <w:rPr>
          <w:rFonts w:ascii="Arial" w:hAnsi="Arial" w:cs="Arial"/>
        </w:rPr>
      </w:pPr>
      <w:r>
        <w:rPr>
          <w:rFonts w:ascii="Arial" w:hAnsi="Arial" w:cs="Arial"/>
        </w:rPr>
        <w:t>Ensuring the Head of Governance maintains a central record of all warnings and decisions to bar someone from premises and monitoring this record.</w:t>
      </w:r>
    </w:p>
    <w:p w14:paraId="4BAAB638" w14:textId="77777777" w:rsidR="006C5267" w:rsidRPr="00CB7E18" w:rsidRDefault="006C5267" w:rsidP="006C5267">
      <w:pPr>
        <w:pStyle w:val="TNCBodyText"/>
        <w:numPr>
          <w:ilvl w:val="0"/>
          <w:numId w:val="6"/>
        </w:numPr>
        <w:spacing w:before="0" w:after="0"/>
        <w:rPr>
          <w:rFonts w:ascii="Arial" w:hAnsi="Arial" w:cs="Arial"/>
        </w:rPr>
      </w:pPr>
      <w:r w:rsidRPr="00CB7E18">
        <w:rPr>
          <w:rFonts w:ascii="Arial" w:hAnsi="Arial" w:cs="Arial"/>
        </w:rPr>
        <w:t>Reviewing this policy and suggesting improvements.</w:t>
      </w:r>
    </w:p>
    <w:p w14:paraId="1DBE45ED" w14:textId="77777777" w:rsidR="006C5267" w:rsidRDefault="006C5267" w:rsidP="006C5267">
      <w:pPr>
        <w:pStyle w:val="TNCBodyText"/>
        <w:spacing w:after="0"/>
        <w:rPr>
          <w:rFonts w:ascii="Arial" w:hAnsi="Arial" w:cs="Arial"/>
        </w:rPr>
      </w:pPr>
    </w:p>
    <w:p w14:paraId="6F1D6C71" w14:textId="2FE5CB8A" w:rsidR="006C5267" w:rsidRPr="00CB7E18" w:rsidRDefault="006C5267" w:rsidP="006C5267">
      <w:pPr>
        <w:pStyle w:val="TNCBodyText"/>
        <w:spacing w:after="0"/>
        <w:rPr>
          <w:rFonts w:ascii="Arial" w:hAnsi="Arial" w:cs="Arial"/>
        </w:rPr>
      </w:pPr>
      <w:r w:rsidRPr="00CB7E18">
        <w:rPr>
          <w:rFonts w:ascii="Arial" w:hAnsi="Arial" w:cs="Arial"/>
        </w:rPr>
        <w:lastRenderedPageBreak/>
        <w:t>The DSL is responsible for:</w:t>
      </w:r>
    </w:p>
    <w:p w14:paraId="56D60CAE" w14:textId="77777777" w:rsidR="006C5267" w:rsidRPr="00CB7E18" w:rsidRDefault="006C5267" w:rsidP="006C5267">
      <w:pPr>
        <w:pStyle w:val="TNCBodyText"/>
        <w:numPr>
          <w:ilvl w:val="0"/>
          <w:numId w:val="7"/>
        </w:numPr>
        <w:spacing w:before="0" w:after="0"/>
        <w:rPr>
          <w:rFonts w:ascii="Arial" w:hAnsi="Arial" w:cs="Arial"/>
        </w:rPr>
      </w:pPr>
      <w:r w:rsidRPr="00CB7E18">
        <w:rPr>
          <w:rFonts w:ascii="Arial" w:hAnsi="Arial" w:cs="Arial"/>
        </w:rPr>
        <w:t>Implementing the correct procedures to ensure that all individuals coming onto the school premises are identifiable and are there for legitimate purposes.</w:t>
      </w:r>
    </w:p>
    <w:p w14:paraId="6CB1631F" w14:textId="77777777" w:rsidR="006C5267" w:rsidRPr="00CB7E18" w:rsidRDefault="006C5267" w:rsidP="006C5267">
      <w:pPr>
        <w:pStyle w:val="TNCBodyText"/>
        <w:numPr>
          <w:ilvl w:val="0"/>
          <w:numId w:val="7"/>
        </w:numPr>
        <w:spacing w:before="0" w:after="0"/>
        <w:rPr>
          <w:rFonts w:ascii="Arial" w:hAnsi="Arial" w:cs="Arial"/>
        </w:rPr>
      </w:pPr>
      <w:r w:rsidRPr="00CB7E18">
        <w:rPr>
          <w:rFonts w:ascii="Arial" w:hAnsi="Arial" w:cs="Arial"/>
        </w:rPr>
        <w:t>Contributing to this policy by suggesting ways in which safeguarding aspects could be improved.</w:t>
      </w:r>
    </w:p>
    <w:p w14:paraId="6C349C63" w14:textId="77777777" w:rsidR="006C5267" w:rsidRPr="00CB7E18" w:rsidRDefault="006C5267" w:rsidP="006C5267">
      <w:pPr>
        <w:pStyle w:val="TNCBodyText"/>
        <w:numPr>
          <w:ilvl w:val="0"/>
          <w:numId w:val="7"/>
        </w:numPr>
        <w:spacing w:before="0" w:after="0"/>
        <w:rPr>
          <w:rFonts w:ascii="Arial" w:hAnsi="Arial" w:cs="Arial"/>
        </w:rPr>
      </w:pPr>
      <w:r w:rsidRPr="00CB7E18">
        <w:rPr>
          <w:rFonts w:ascii="Arial" w:hAnsi="Arial" w:cs="Arial"/>
        </w:rPr>
        <w:t>Identifying the risks associated with inappropriate individuals coming onto the school premises.</w:t>
      </w:r>
    </w:p>
    <w:p w14:paraId="3960732F" w14:textId="77777777" w:rsidR="006C5267" w:rsidRPr="00CB7E18" w:rsidRDefault="006C5267" w:rsidP="006C5267">
      <w:pPr>
        <w:pStyle w:val="TNCBodyText"/>
        <w:spacing w:after="0"/>
        <w:rPr>
          <w:rFonts w:ascii="Arial" w:hAnsi="Arial" w:cs="Arial"/>
        </w:rPr>
      </w:pPr>
      <w:r w:rsidRPr="00CB7E18">
        <w:rPr>
          <w:rFonts w:ascii="Arial" w:hAnsi="Arial" w:cs="Arial"/>
        </w:rPr>
        <w:t>Parents, carers and visitors will be responsible for:</w:t>
      </w:r>
    </w:p>
    <w:p w14:paraId="442F973C" w14:textId="77777777" w:rsidR="006C5267" w:rsidRPr="00CB7E18" w:rsidRDefault="006C5267" w:rsidP="006C5267">
      <w:pPr>
        <w:pStyle w:val="TNCBodyText"/>
        <w:numPr>
          <w:ilvl w:val="0"/>
          <w:numId w:val="7"/>
        </w:numPr>
        <w:spacing w:before="0" w:after="0"/>
        <w:rPr>
          <w:rFonts w:ascii="Arial" w:hAnsi="Arial" w:cs="Arial"/>
        </w:rPr>
      </w:pPr>
      <w:r w:rsidRPr="00CB7E18">
        <w:rPr>
          <w:rFonts w:ascii="Arial" w:hAnsi="Arial" w:cs="Arial"/>
        </w:rPr>
        <w:t>Treating all pupils and parents with respect.</w:t>
      </w:r>
    </w:p>
    <w:p w14:paraId="70C9A55F" w14:textId="77777777" w:rsidR="006C5267" w:rsidRPr="00CB7E18" w:rsidRDefault="006C5267" w:rsidP="006C5267">
      <w:pPr>
        <w:pStyle w:val="TNCBodyText"/>
        <w:numPr>
          <w:ilvl w:val="0"/>
          <w:numId w:val="7"/>
        </w:numPr>
        <w:spacing w:before="0" w:after="0"/>
        <w:rPr>
          <w:rFonts w:ascii="Arial" w:hAnsi="Arial" w:cs="Arial"/>
        </w:rPr>
      </w:pPr>
      <w:r w:rsidRPr="00CB7E18">
        <w:rPr>
          <w:rFonts w:ascii="Arial" w:hAnsi="Arial" w:cs="Arial"/>
        </w:rPr>
        <w:t>Not exceeding their implied licence to come onto the school premises at certain times and limiting their attendance on the premises for legitimate purposes such as for appointments, events or to pick up their children.</w:t>
      </w:r>
    </w:p>
    <w:p w14:paraId="02DA1FC8" w14:textId="77777777" w:rsidR="006C5267" w:rsidRPr="00CB7E18" w:rsidRDefault="006C5267" w:rsidP="006C5267">
      <w:pPr>
        <w:pStyle w:val="TNCBodyText"/>
        <w:spacing w:before="0" w:after="0"/>
        <w:ind w:left="720"/>
        <w:rPr>
          <w:rFonts w:ascii="Arial" w:hAnsi="Arial" w:cs="Arial"/>
        </w:rPr>
      </w:pPr>
    </w:p>
    <w:p w14:paraId="0501EF49" w14:textId="77777777" w:rsidR="006C5267" w:rsidRPr="00CB7E18" w:rsidRDefault="006C5267" w:rsidP="006C5267">
      <w:pPr>
        <w:pStyle w:val="Policysections"/>
        <w:rPr>
          <w:rFonts w:ascii="Arial" w:hAnsi="Arial" w:cs="Arial"/>
        </w:rPr>
      </w:pPr>
      <w:bookmarkStart w:id="4" w:name="barringcriteria"/>
      <w:bookmarkEnd w:id="4"/>
      <w:r w:rsidRPr="00CB7E18">
        <w:rPr>
          <w:rFonts w:ascii="Arial" w:hAnsi="Arial" w:cs="Arial"/>
        </w:rPr>
        <w:t>Barring criteria</w:t>
      </w:r>
    </w:p>
    <w:p w14:paraId="36457CC5" w14:textId="77777777" w:rsidR="006C5267" w:rsidRPr="00CB7E18" w:rsidRDefault="006C5267" w:rsidP="006C5267">
      <w:pPr>
        <w:pStyle w:val="TNCBodyText"/>
        <w:rPr>
          <w:rFonts w:ascii="Arial" w:hAnsi="Arial" w:cs="Arial"/>
          <w:b/>
          <w:bCs/>
        </w:rPr>
      </w:pPr>
      <w:r w:rsidRPr="00CB7E18">
        <w:rPr>
          <w:rFonts w:ascii="Arial" w:hAnsi="Arial" w:cs="Arial"/>
          <w:b/>
          <w:bCs/>
        </w:rPr>
        <w:t>Barring due to persistent trespassing</w:t>
      </w:r>
    </w:p>
    <w:p w14:paraId="22D05359" w14:textId="6A80A940" w:rsidR="006C5267" w:rsidRPr="00CB7E18" w:rsidRDefault="006C5267" w:rsidP="006C5267">
      <w:pPr>
        <w:pStyle w:val="TNCBodyText"/>
        <w:rPr>
          <w:rFonts w:ascii="Arial" w:hAnsi="Arial" w:cs="Arial"/>
        </w:rPr>
      </w:pPr>
      <w:r w:rsidRPr="00CB7E18">
        <w:rPr>
          <w:rFonts w:ascii="Arial" w:hAnsi="Arial" w:cs="Arial"/>
        </w:rPr>
        <w:t xml:space="preserve">No individual will have an automatic right to enter the school premises – all visitors must report to </w:t>
      </w:r>
      <w:r w:rsidR="00E74FAA" w:rsidRPr="00E74FAA">
        <w:rPr>
          <w:rFonts w:ascii="Arial" w:hAnsi="Arial" w:cs="Arial"/>
          <w:color w:val="000000" w:themeColor="text1"/>
        </w:rPr>
        <w:t>the school office</w:t>
      </w:r>
      <w:r w:rsidRPr="00E74FAA">
        <w:rPr>
          <w:rFonts w:ascii="Arial" w:hAnsi="Arial" w:cs="Arial"/>
          <w:color w:val="000000" w:themeColor="text1"/>
        </w:rPr>
        <w:t xml:space="preserve"> </w:t>
      </w:r>
      <w:r w:rsidRPr="00CB7E18">
        <w:rPr>
          <w:rFonts w:ascii="Arial" w:hAnsi="Arial" w:cs="Arial"/>
        </w:rPr>
        <w:t xml:space="preserve">to sign in and out when attending the school premises and will be required to </w:t>
      </w:r>
      <w:proofErr w:type="gramStart"/>
      <w:r w:rsidRPr="00CB7E18">
        <w:rPr>
          <w:rFonts w:ascii="Arial" w:hAnsi="Arial" w:cs="Arial"/>
        </w:rPr>
        <w:t>wear visible identification on their person at all times</w:t>
      </w:r>
      <w:proofErr w:type="gramEnd"/>
      <w:r w:rsidRPr="00CB7E18">
        <w:rPr>
          <w:rFonts w:ascii="Arial" w:hAnsi="Arial" w:cs="Arial"/>
        </w:rPr>
        <w:t xml:space="preserve">. </w:t>
      </w:r>
    </w:p>
    <w:p w14:paraId="2D1A33F5" w14:textId="77777777" w:rsidR="006C5267" w:rsidRPr="00CB7E18" w:rsidRDefault="006C5267" w:rsidP="006C5267">
      <w:pPr>
        <w:pStyle w:val="TNCBodyText"/>
        <w:rPr>
          <w:rFonts w:ascii="Arial" w:hAnsi="Arial" w:cs="Arial"/>
        </w:rPr>
      </w:pPr>
      <w:r w:rsidRPr="00CB7E18">
        <w:rPr>
          <w:rFonts w:ascii="Arial" w:hAnsi="Arial" w:cs="Arial"/>
        </w:rPr>
        <w:t>Anyone who attends the school site beyond their implied licence will be committing a civil offence by trespassing and will be asked to leave the premises.</w:t>
      </w:r>
    </w:p>
    <w:p w14:paraId="61480170" w14:textId="77777777" w:rsidR="006C5267" w:rsidRPr="00CB7E18" w:rsidRDefault="006C5267" w:rsidP="006C5267">
      <w:pPr>
        <w:pStyle w:val="TNCBodyText"/>
        <w:rPr>
          <w:rFonts w:ascii="Arial" w:hAnsi="Arial" w:cs="Arial"/>
        </w:rPr>
      </w:pPr>
      <w:r w:rsidRPr="00CB7E18">
        <w:rPr>
          <w:rFonts w:ascii="Arial" w:hAnsi="Arial" w:cs="Arial"/>
        </w:rPr>
        <w:t>Failure to leave the premises when asked will lead to further action, and the police will be contacted to remove any unauthorised individuals from the premises.</w:t>
      </w:r>
    </w:p>
    <w:p w14:paraId="226C11D0" w14:textId="77777777" w:rsidR="006C5267" w:rsidRPr="00CB7E18" w:rsidRDefault="006C5267" w:rsidP="006C5267">
      <w:pPr>
        <w:pStyle w:val="TNCBodyText"/>
        <w:rPr>
          <w:rFonts w:ascii="Arial" w:hAnsi="Arial" w:cs="Arial"/>
        </w:rPr>
      </w:pPr>
      <w:r w:rsidRPr="00CB7E18">
        <w:rPr>
          <w:rFonts w:ascii="Arial" w:hAnsi="Arial" w:cs="Arial"/>
        </w:rPr>
        <w:t>Persistent trespassing and attending the school beyond an implied licence will result in the school taking civil action and informing the trespasser that, if they continue to do so, they may be committing a criminal offence, and the school may seek to bar them from the premises.</w:t>
      </w:r>
    </w:p>
    <w:p w14:paraId="26F41029" w14:textId="77777777" w:rsidR="006C5267" w:rsidRPr="00CB7E18" w:rsidRDefault="006C5267" w:rsidP="006C5267">
      <w:pPr>
        <w:pStyle w:val="TNCBodyText"/>
        <w:spacing w:after="0"/>
        <w:rPr>
          <w:rFonts w:ascii="Arial" w:hAnsi="Arial" w:cs="Arial"/>
        </w:rPr>
      </w:pPr>
      <w:r w:rsidRPr="00CB7E18">
        <w:rPr>
          <w:rFonts w:ascii="Arial" w:hAnsi="Arial" w:cs="Arial"/>
        </w:rPr>
        <w:t>As per section 547 of the Education Act 1996, anyone without legal permission to be on the school premises, and who is also causing a nuisance or disturbance and exceeding their implied licence, will be committing a criminal offence and will be removed by a police officer or a person authorised by the CEO or Trust board.</w:t>
      </w:r>
    </w:p>
    <w:p w14:paraId="7C1CC630" w14:textId="77777777" w:rsidR="006C5267" w:rsidRPr="00CB7E18" w:rsidRDefault="006C5267" w:rsidP="006C5267">
      <w:pPr>
        <w:pStyle w:val="TNCBodyText"/>
        <w:spacing w:before="0" w:after="0"/>
        <w:rPr>
          <w:rFonts w:ascii="Arial" w:hAnsi="Arial" w:cs="Arial"/>
          <w:b/>
          <w:bCs/>
        </w:rPr>
      </w:pPr>
    </w:p>
    <w:p w14:paraId="76EC22B5" w14:textId="77777777" w:rsidR="006C5267" w:rsidRPr="00CB7E18" w:rsidRDefault="006C5267" w:rsidP="006C5267">
      <w:pPr>
        <w:pStyle w:val="TNCBodyText"/>
        <w:rPr>
          <w:rFonts w:ascii="Arial" w:hAnsi="Arial" w:cs="Arial"/>
          <w:b/>
          <w:bCs/>
        </w:rPr>
      </w:pPr>
      <w:r w:rsidRPr="00CB7E18">
        <w:rPr>
          <w:rFonts w:ascii="Arial" w:hAnsi="Arial" w:cs="Arial"/>
          <w:b/>
          <w:bCs/>
        </w:rPr>
        <w:t>Barring due to aggressive or abusive behaviour</w:t>
      </w:r>
    </w:p>
    <w:p w14:paraId="5BFC82F2" w14:textId="77777777" w:rsidR="006C5267" w:rsidRPr="00CB7E18" w:rsidRDefault="006C5267" w:rsidP="006C5267">
      <w:pPr>
        <w:pStyle w:val="TNCBodyText"/>
        <w:rPr>
          <w:rFonts w:ascii="Arial" w:hAnsi="Arial" w:cs="Arial"/>
        </w:rPr>
      </w:pPr>
      <w:r w:rsidRPr="00CB7E18">
        <w:rPr>
          <w:rFonts w:ascii="Arial" w:hAnsi="Arial" w:cs="Arial"/>
        </w:rPr>
        <w:t xml:space="preserve">The school will reserve the right to bar any individual from the premises if it feels that an individual’s aggressive, abusive, or insulting behaviour or language is a risk to staff or pupils. </w:t>
      </w:r>
    </w:p>
    <w:p w14:paraId="01386E3C" w14:textId="77777777" w:rsidR="006C5267" w:rsidRPr="00CB7E18" w:rsidRDefault="006C5267" w:rsidP="006C5267">
      <w:pPr>
        <w:pStyle w:val="TNCBodyText"/>
        <w:rPr>
          <w:rFonts w:ascii="Arial" w:hAnsi="Arial" w:cs="Arial"/>
        </w:rPr>
      </w:pPr>
      <w:r w:rsidRPr="00CB7E18">
        <w:rPr>
          <w:rFonts w:ascii="Arial" w:hAnsi="Arial" w:cs="Arial"/>
        </w:rPr>
        <w:t>The school will consider any action that has made a member of staff or pupil feel threatened as qualifying criteria for barring and will take any reports of threatening behaviour extremely seriously.</w:t>
      </w:r>
    </w:p>
    <w:p w14:paraId="6CE9B1FC" w14:textId="77777777" w:rsidR="006C5267" w:rsidRPr="00CB7E18" w:rsidRDefault="006C5267" w:rsidP="006C5267">
      <w:pPr>
        <w:pStyle w:val="TNCBodyText"/>
        <w:rPr>
          <w:rFonts w:ascii="Arial" w:hAnsi="Arial" w:cs="Arial"/>
        </w:rPr>
      </w:pPr>
      <w:r w:rsidRPr="00CB7E18">
        <w:rPr>
          <w:rFonts w:ascii="Arial" w:hAnsi="Arial" w:cs="Arial"/>
        </w:rPr>
        <w:t>Persistent abusive, aggressive, or insulting behaviour or language will always result in the individual being barred, at least for a temporary period.</w:t>
      </w:r>
    </w:p>
    <w:p w14:paraId="5C5E079C" w14:textId="77777777" w:rsidR="006C5267" w:rsidRPr="00CB7E18" w:rsidRDefault="006C5267" w:rsidP="006C5267">
      <w:pPr>
        <w:pStyle w:val="TNCBodyText"/>
        <w:rPr>
          <w:rFonts w:ascii="Arial" w:hAnsi="Arial" w:cs="Arial"/>
        </w:rPr>
      </w:pPr>
      <w:r w:rsidRPr="00CB7E18">
        <w:rPr>
          <w:rFonts w:ascii="Arial" w:hAnsi="Arial" w:cs="Arial"/>
        </w:rPr>
        <w:lastRenderedPageBreak/>
        <w:t>Cases of abusive and aggressive behaviour, and the bar put in place, will be reviewed on a case-by-case basis.</w:t>
      </w:r>
    </w:p>
    <w:p w14:paraId="1E56C2D1" w14:textId="77777777" w:rsidR="006C5267" w:rsidRPr="00CB7E18" w:rsidRDefault="006C5267" w:rsidP="006C5267">
      <w:pPr>
        <w:pStyle w:val="TNCBodyText"/>
        <w:spacing w:after="0"/>
        <w:rPr>
          <w:rFonts w:ascii="Arial" w:hAnsi="Arial" w:cs="Arial"/>
        </w:rPr>
      </w:pPr>
      <w:r w:rsidRPr="00CB7E18">
        <w:rPr>
          <w:rFonts w:ascii="Arial" w:hAnsi="Arial" w:cs="Arial"/>
        </w:rPr>
        <w:t>Any infliction of physical harm or harassment towards staff or pupils will always be reported to the police.</w:t>
      </w:r>
    </w:p>
    <w:p w14:paraId="19E505DE" w14:textId="77777777" w:rsidR="006C5267" w:rsidRPr="00CB7E18" w:rsidRDefault="006C5267" w:rsidP="006C5267">
      <w:pPr>
        <w:pStyle w:val="TNCBodyText"/>
        <w:spacing w:before="0" w:after="0"/>
        <w:rPr>
          <w:rFonts w:ascii="Arial" w:hAnsi="Arial" w:cs="Arial"/>
          <w:b/>
          <w:bCs/>
        </w:rPr>
      </w:pPr>
    </w:p>
    <w:p w14:paraId="021ED6CD" w14:textId="77777777" w:rsidR="006C5267" w:rsidRPr="00CB7E18" w:rsidRDefault="006C5267" w:rsidP="006C5267">
      <w:pPr>
        <w:pStyle w:val="TNCBodyText"/>
        <w:rPr>
          <w:rFonts w:ascii="Arial" w:hAnsi="Arial" w:cs="Arial"/>
          <w:b/>
          <w:bCs/>
        </w:rPr>
      </w:pPr>
      <w:r w:rsidRPr="00CB7E18">
        <w:rPr>
          <w:rFonts w:ascii="Arial" w:hAnsi="Arial" w:cs="Arial"/>
          <w:b/>
          <w:bCs/>
        </w:rPr>
        <w:t xml:space="preserve">Barring </w:t>
      </w:r>
      <w:proofErr w:type="gramStart"/>
      <w:r w:rsidRPr="00CB7E18">
        <w:rPr>
          <w:rFonts w:ascii="Arial" w:hAnsi="Arial" w:cs="Arial"/>
          <w:b/>
          <w:bCs/>
        </w:rPr>
        <w:t>on the basis of</w:t>
      </w:r>
      <w:proofErr w:type="gramEnd"/>
      <w:r w:rsidRPr="00CB7E18">
        <w:rPr>
          <w:rFonts w:ascii="Arial" w:hAnsi="Arial" w:cs="Arial"/>
          <w:b/>
          <w:bCs/>
        </w:rPr>
        <w:t xml:space="preserve"> sexually inappropriate or harmful behaviour </w:t>
      </w:r>
    </w:p>
    <w:p w14:paraId="74233AB1" w14:textId="77777777" w:rsidR="006C5267" w:rsidRPr="00CB7E18" w:rsidRDefault="006C5267" w:rsidP="006C5267">
      <w:pPr>
        <w:pStyle w:val="TNCBodyText"/>
        <w:rPr>
          <w:rFonts w:ascii="Arial" w:hAnsi="Arial" w:cs="Arial"/>
        </w:rPr>
      </w:pPr>
      <w:r w:rsidRPr="00CB7E18">
        <w:rPr>
          <w:rFonts w:ascii="Arial" w:hAnsi="Arial" w:cs="Arial"/>
        </w:rPr>
        <w:t>Where the school has reason to believe that an individual may commit, or has committed, a harmful sexual offence, they will be barred or excluded from the premises in accordance with the procedures set out below.</w:t>
      </w:r>
    </w:p>
    <w:p w14:paraId="068F940D" w14:textId="77777777" w:rsidR="006C5267" w:rsidRPr="00CB7E18" w:rsidRDefault="006C5267" w:rsidP="006C5267">
      <w:pPr>
        <w:pStyle w:val="TNCBodyText"/>
        <w:rPr>
          <w:rFonts w:ascii="Arial" w:hAnsi="Arial" w:cs="Arial"/>
        </w:rPr>
      </w:pPr>
      <w:r w:rsidRPr="00CB7E18">
        <w:rPr>
          <w:rFonts w:ascii="Arial" w:hAnsi="Arial" w:cs="Arial"/>
        </w:rPr>
        <w:t xml:space="preserve">The school will report any individual causing concerns that are relevant to harmful sexual behaviour to the police and, where the individual risks causing sexual harm, wait for the police to escort the individual away from the premises where they risk causing sexual harm. </w:t>
      </w:r>
    </w:p>
    <w:p w14:paraId="4D2F6D58" w14:textId="77777777" w:rsidR="006C5267" w:rsidRPr="00CB7E18" w:rsidRDefault="006C5267" w:rsidP="006C5267">
      <w:pPr>
        <w:pStyle w:val="TNCBodyText"/>
        <w:rPr>
          <w:rFonts w:ascii="Arial" w:hAnsi="Arial" w:cs="Arial"/>
        </w:rPr>
      </w:pPr>
      <w:r w:rsidRPr="00CB7E18">
        <w:rPr>
          <w:rFonts w:ascii="Arial" w:hAnsi="Arial" w:cs="Arial"/>
        </w:rPr>
        <w:t>The police or courts will usually seek to place a sexual harm prevention order (SHPO) on individuals who have been convicted of a sexual offence, meaning that they will not be permitted to visit the school or be in the vicinity of its pupils. The school will immediately report any individual on the school premises to the police if it is apparent that they are under a SHPO.</w:t>
      </w:r>
    </w:p>
    <w:p w14:paraId="2F82B2C5" w14:textId="77777777" w:rsidR="006C5267" w:rsidRPr="00CB7E18" w:rsidRDefault="006C5267" w:rsidP="006C5267">
      <w:pPr>
        <w:pStyle w:val="TNCBodyText"/>
        <w:rPr>
          <w:rFonts w:ascii="Arial" w:hAnsi="Arial" w:cs="Arial"/>
        </w:rPr>
      </w:pPr>
      <w:r w:rsidRPr="00CB7E18">
        <w:rPr>
          <w:rFonts w:ascii="Arial" w:hAnsi="Arial" w:cs="Arial"/>
        </w:rPr>
        <w:t>Any individual who is on the school premises without legal permission, and who is causing a nuisance or disturbance of a sexual nature, e.g. making sexual comments or gestures, will be reported to the police and removed from the premises immediately.</w:t>
      </w:r>
    </w:p>
    <w:p w14:paraId="4410F553" w14:textId="77777777" w:rsidR="006C5267" w:rsidRPr="00CB7E18" w:rsidRDefault="006C5267" w:rsidP="006C5267">
      <w:pPr>
        <w:pStyle w:val="TNCBodyText"/>
        <w:spacing w:after="0"/>
        <w:rPr>
          <w:rFonts w:ascii="Arial" w:hAnsi="Arial" w:cs="Arial"/>
        </w:rPr>
      </w:pPr>
      <w:r w:rsidRPr="00CB7E18">
        <w:rPr>
          <w:rFonts w:ascii="Arial" w:hAnsi="Arial" w:cs="Arial"/>
        </w:rPr>
        <w:t>Where the school believes that an individual who has been convicted of a sexual offence poses a risk to staff or pupils or may make them feel threatened, the school will pursue a barring order on the individual in accordance with the DfE’s ‘Controlling access to school premises’ guidance.</w:t>
      </w:r>
    </w:p>
    <w:p w14:paraId="59A04F1C" w14:textId="77777777" w:rsidR="006C5267" w:rsidRPr="00CB7E18" w:rsidRDefault="006C5267" w:rsidP="006C5267">
      <w:pPr>
        <w:pStyle w:val="TNCBodyText"/>
        <w:spacing w:before="0" w:after="0"/>
        <w:rPr>
          <w:rFonts w:ascii="Arial" w:hAnsi="Arial" w:cs="Arial"/>
        </w:rPr>
      </w:pPr>
    </w:p>
    <w:p w14:paraId="7607DCD4" w14:textId="77777777" w:rsidR="006C5267" w:rsidRPr="00CB7E18" w:rsidRDefault="006C5267" w:rsidP="006C5267">
      <w:pPr>
        <w:pStyle w:val="TNCBodyText"/>
        <w:rPr>
          <w:rFonts w:ascii="Arial" w:hAnsi="Arial" w:cs="Arial"/>
          <w:b/>
          <w:bCs/>
        </w:rPr>
      </w:pPr>
      <w:r w:rsidRPr="00CB7E18">
        <w:rPr>
          <w:rFonts w:ascii="Arial" w:hAnsi="Arial" w:cs="Arial"/>
          <w:b/>
          <w:bCs/>
        </w:rPr>
        <w:t>Barring due to illegal activity</w:t>
      </w:r>
    </w:p>
    <w:p w14:paraId="26AFB44B" w14:textId="77777777" w:rsidR="006C5267" w:rsidRPr="00CB7E18" w:rsidRDefault="006C5267" w:rsidP="006C5267">
      <w:pPr>
        <w:pStyle w:val="TNCBodyText"/>
        <w:rPr>
          <w:rFonts w:ascii="Arial" w:hAnsi="Arial" w:cs="Arial"/>
        </w:rPr>
      </w:pPr>
      <w:r w:rsidRPr="00CB7E18">
        <w:rPr>
          <w:rFonts w:ascii="Arial" w:hAnsi="Arial" w:cs="Arial"/>
        </w:rPr>
        <w:t>Any individual found to be engaging in criminal activity on the school premises will be reported to the police immediately, and barring will be considered on a case-by-case basis.</w:t>
      </w:r>
    </w:p>
    <w:p w14:paraId="3DA45DB7" w14:textId="77777777" w:rsidR="006C5267" w:rsidRPr="00CB7E18" w:rsidRDefault="006C5267" w:rsidP="006C5267">
      <w:pPr>
        <w:pStyle w:val="TNCBodyText"/>
        <w:spacing w:after="0"/>
        <w:rPr>
          <w:rFonts w:ascii="Arial" w:hAnsi="Arial" w:cs="Arial"/>
        </w:rPr>
      </w:pPr>
      <w:r w:rsidRPr="00CB7E18">
        <w:rPr>
          <w:rFonts w:ascii="Arial" w:hAnsi="Arial" w:cs="Arial"/>
        </w:rPr>
        <w:t>Anyone who is known to have committed a criminal offence that has had a negative impact on the school and members of its community may be considered to be a threat to staff members and pupils and may be barred from the premises, depending on their representations, the type of crime that was committed, and the level of impact it has had on the school community.</w:t>
      </w:r>
    </w:p>
    <w:p w14:paraId="65ABFF5C" w14:textId="77777777" w:rsidR="006C5267" w:rsidRPr="00CB7E18" w:rsidRDefault="006C5267" w:rsidP="006C5267">
      <w:pPr>
        <w:pStyle w:val="TNCBodyText"/>
        <w:spacing w:before="0" w:after="0"/>
        <w:rPr>
          <w:rFonts w:ascii="Arial" w:hAnsi="Arial" w:cs="Arial"/>
        </w:rPr>
      </w:pPr>
    </w:p>
    <w:p w14:paraId="12704A03" w14:textId="77777777" w:rsidR="006C5267" w:rsidRPr="00CB7E18" w:rsidRDefault="006C5267" w:rsidP="006C5267">
      <w:pPr>
        <w:pStyle w:val="Policysections"/>
        <w:rPr>
          <w:rFonts w:ascii="Arial" w:hAnsi="Arial" w:cs="Arial"/>
        </w:rPr>
      </w:pPr>
      <w:bookmarkStart w:id="5" w:name="barringprocess"/>
      <w:bookmarkEnd w:id="5"/>
      <w:r w:rsidRPr="00CB7E18">
        <w:rPr>
          <w:rFonts w:ascii="Arial" w:hAnsi="Arial" w:cs="Arial"/>
        </w:rPr>
        <w:t>Barring process</w:t>
      </w:r>
    </w:p>
    <w:p w14:paraId="78D4038B" w14:textId="77777777" w:rsidR="006C5267" w:rsidRPr="00CB7E18" w:rsidRDefault="006C5267" w:rsidP="006C5267">
      <w:pPr>
        <w:pStyle w:val="TNCBodyText"/>
        <w:spacing w:after="0"/>
        <w:rPr>
          <w:rFonts w:ascii="Arial" w:hAnsi="Arial" w:cs="Arial"/>
        </w:rPr>
      </w:pPr>
      <w:r w:rsidRPr="00CB7E18">
        <w:rPr>
          <w:rFonts w:ascii="Arial" w:hAnsi="Arial" w:cs="Arial"/>
        </w:rPr>
        <w:t>Each decision to bar an individual, both permanently and temporarily, from the premises will be considered on a case-by-case basis. The school will consider the following when making decisions:</w:t>
      </w:r>
    </w:p>
    <w:p w14:paraId="7898DD02" w14:textId="77777777" w:rsidR="006C5267" w:rsidRPr="00CB7E18" w:rsidRDefault="006C5267" w:rsidP="006C5267">
      <w:pPr>
        <w:pStyle w:val="TNCBodyText"/>
        <w:numPr>
          <w:ilvl w:val="0"/>
          <w:numId w:val="10"/>
        </w:numPr>
        <w:spacing w:before="0" w:after="0"/>
        <w:rPr>
          <w:rFonts w:ascii="Arial" w:hAnsi="Arial" w:cs="Arial"/>
        </w:rPr>
      </w:pPr>
      <w:r w:rsidRPr="00CB7E18">
        <w:rPr>
          <w:rFonts w:ascii="Arial" w:hAnsi="Arial" w:cs="Arial"/>
        </w:rPr>
        <w:t>Whether the individual has caused, or intended to cause, harm towards a member of staff or pupil</w:t>
      </w:r>
    </w:p>
    <w:p w14:paraId="1B639D20" w14:textId="77777777" w:rsidR="006C5267" w:rsidRPr="00CB7E18" w:rsidRDefault="006C5267" w:rsidP="006C5267">
      <w:pPr>
        <w:pStyle w:val="TNCBodyText"/>
        <w:numPr>
          <w:ilvl w:val="0"/>
          <w:numId w:val="10"/>
        </w:numPr>
        <w:spacing w:before="0" w:after="0"/>
        <w:rPr>
          <w:rFonts w:ascii="Arial" w:hAnsi="Arial" w:cs="Arial"/>
        </w:rPr>
      </w:pPr>
      <w:r w:rsidRPr="00CB7E18">
        <w:rPr>
          <w:rFonts w:ascii="Arial" w:hAnsi="Arial" w:cs="Arial"/>
        </w:rPr>
        <w:lastRenderedPageBreak/>
        <w:t>Whether the individual’s actions could have put someone else in danger</w:t>
      </w:r>
    </w:p>
    <w:p w14:paraId="578F90CB" w14:textId="77777777" w:rsidR="006C5267" w:rsidRPr="00CB7E18" w:rsidRDefault="006C5267" w:rsidP="006C5267">
      <w:pPr>
        <w:pStyle w:val="TNCBodyText"/>
        <w:numPr>
          <w:ilvl w:val="0"/>
          <w:numId w:val="10"/>
        </w:numPr>
        <w:spacing w:before="0" w:after="0"/>
        <w:rPr>
          <w:rFonts w:ascii="Arial" w:hAnsi="Arial" w:cs="Arial"/>
        </w:rPr>
      </w:pPr>
      <w:r w:rsidRPr="00CB7E18">
        <w:rPr>
          <w:rFonts w:ascii="Arial" w:hAnsi="Arial" w:cs="Arial"/>
        </w:rPr>
        <w:t>Whether the individual has caused concerns on prior occasions</w:t>
      </w:r>
    </w:p>
    <w:p w14:paraId="39B2901E" w14:textId="77777777" w:rsidR="006C5267" w:rsidRPr="00CB7E18" w:rsidRDefault="006C5267" w:rsidP="006C5267">
      <w:pPr>
        <w:pStyle w:val="TNCBodyText"/>
        <w:numPr>
          <w:ilvl w:val="0"/>
          <w:numId w:val="10"/>
        </w:numPr>
        <w:spacing w:before="0" w:after="0"/>
        <w:rPr>
          <w:rFonts w:ascii="Arial" w:hAnsi="Arial" w:cs="Arial"/>
        </w:rPr>
      </w:pPr>
      <w:r w:rsidRPr="00CB7E18">
        <w:rPr>
          <w:rFonts w:ascii="Arial" w:hAnsi="Arial" w:cs="Arial"/>
        </w:rPr>
        <w:t>Their relationship to the school</w:t>
      </w:r>
    </w:p>
    <w:p w14:paraId="124F969C" w14:textId="77777777" w:rsidR="006C5267" w:rsidRPr="00CB7E18" w:rsidRDefault="006C5267" w:rsidP="006C5267">
      <w:pPr>
        <w:pStyle w:val="TNCBodyText"/>
        <w:numPr>
          <w:ilvl w:val="0"/>
          <w:numId w:val="10"/>
        </w:numPr>
        <w:spacing w:before="0" w:after="0"/>
        <w:rPr>
          <w:rFonts w:ascii="Arial" w:hAnsi="Arial" w:cs="Arial"/>
        </w:rPr>
      </w:pPr>
      <w:r w:rsidRPr="00CB7E18">
        <w:rPr>
          <w:rFonts w:ascii="Arial" w:hAnsi="Arial" w:cs="Arial"/>
        </w:rPr>
        <w:t>The individual’s attitude and whether they show remorse for the actions leading to the school deciding to consider barring them</w:t>
      </w:r>
    </w:p>
    <w:p w14:paraId="12518BA2" w14:textId="77777777" w:rsidR="006C5267" w:rsidRPr="00CB7E18" w:rsidRDefault="006C5267" w:rsidP="006C5267">
      <w:pPr>
        <w:pStyle w:val="TNCBodyText"/>
        <w:numPr>
          <w:ilvl w:val="0"/>
          <w:numId w:val="10"/>
        </w:numPr>
        <w:spacing w:before="0" w:after="0"/>
        <w:rPr>
          <w:rFonts w:ascii="Arial" w:hAnsi="Arial" w:cs="Arial"/>
        </w:rPr>
      </w:pPr>
      <w:r w:rsidRPr="00CB7E18">
        <w:rPr>
          <w:rFonts w:ascii="Arial" w:hAnsi="Arial" w:cs="Arial"/>
        </w:rPr>
        <w:t>Whether staff members and/or pupils have felt threatened by the individual</w:t>
      </w:r>
    </w:p>
    <w:p w14:paraId="5D6678BA" w14:textId="77777777" w:rsidR="006C5267" w:rsidRPr="00CB7E18" w:rsidRDefault="006C5267" w:rsidP="006C5267">
      <w:pPr>
        <w:pStyle w:val="TNCBodyText"/>
        <w:numPr>
          <w:ilvl w:val="0"/>
          <w:numId w:val="10"/>
        </w:numPr>
        <w:spacing w:before="0" w:after="0"/>
        <w:rPr>
          <w:rFonts w:ascii="Arial" w:hAnsi="Arial" w:cs="Arial"/>
        </w:rPr>
      </w:pPr>
      <w:r w:rsidRPr="00CB7E18">
        <w:rPr>
          <w:rFonts w:ascii="Arial" w:hAnsi="Arial" w:cs="Arial"/>
        </w:rPr>
        <w:t>Advice from the police, CEO or trust board regarding the individual’s actions and whether barring is justified.</w:t>
      </w:r>
    </w:p>
    <w:p w14:paraId="3F325E39" w14:textId="77777777" w:rsidR="006C5267" w:rsidRPr="00CB7E18" w:rsidRDefault="006C5267" w:rsidP="006C5267">
      <w:pPr>
        <w:pStyle w:val="TNCBodyText"/>
        <w:spacing w:after="0"/>
        <w:rPr>
          <w:rFonts w:ascii="Arial" w:hAnsi="Arial" w:cs="Arial"/>
        </w:rPr>
      </w:pPr>
      <w:r w:rsidRPr="00CB7E18">
        <w:rPr>
          <w:rFonts w:ascii="Arial" w:hAnsi="Arial" w:cs="Arial"/>
        </w:rPr>
        <w:t>When the decision has been made to bar an individual, the school will either:</w:t>
      </w:r>
    </w:p>
    <w:p w14:paraId="0A5584B5" w14:textId="77777777" w:rsidR="006C5267" w:rsidRPr="00CB7E18" w:rsidRDefault="006C5267" w:rsidP="006C5267">
      <w:pPr>
        <w:pStyle w:val="TNCBodyText"/>
        <w:numPr>
          <w:ilvl w:val="0"/>
          <w:numId w:val="8"/>
        </w:numPr>
        <w:spacing w:before="0" w:after="0"/>
        <w:rPr>
          <w:rFonts w:ascii="Arial" w:hAnsi="Arial" w:cs="Arial"/>
        </w:rPr>
      </w:pPr>
      <w:r w:rsidRPr="00CB7E18">
        <w:rPr>
          <w:rFonts w:ascii="Arial" w:hAnsi="Arial" w:cs="Arial"/>
        </w:rPr>
        <w:t>Bar the individual temporarily, until they have had the opportunity to formally present their side, or</w:t>
      </w:r>
    </w:p>
    <w:p w14:paraId="0DD0B89F" w14:textId="77777777" w:rsidR="006C5267" w:rsidRPr="00CB7E18" w:rsidRDefault="006C5267" w:rsidP="006C5267">
      <w:pPr>
        <w:pStyle w:val="TNCBodyText"/>
        <w:numPr>
          <w:ilvl w:val="0"/>
          <w:numId w:val="8"/>
        </w:numPr>
        <w:spacing w:before="0" w:after="0"/>
        <w:rPr>
          <w:rFonts w:ascii="Arial" w:hAnsi="Arial" w:cs="Arial"/>
        </w:rPr>
      </w:pPr>
      <w:r w:rsidRPr="00CB7E18">
        <w:rPr>
          <w:rFonts w:ascii="Arial" w:hAnsi="Arial" w:cs="Arial"/>
        </w:rPr>
        <w:t>Inform the individual that they intend to bar them and invite them to present their side.</w:t>
      </w:r>
    </w:p>
    <w:p w14:paraId="1B476D54" w14:textId="77777777" w:rsidR="006C5267" w:rsidRPr="00CB7E18" w:rsidRDefault="006C5267" w:rsidP="006C5267">
      <w:pPr>
        <w:pStyle w:val="TNCBodyText"/>
        <w:spacing w:after="0"/>
        <w:rPr>
          <w:rFonts w:ascii="Arial" w:hAnsi="Arial" w:cs="Arial"/>
        </w:rPr>
      </w:pPr>
      <w:r w:rsidRPr="00CB7E18">
        <w:rPr>
          <w:rFonts w:ascii="Arial" w:hAnsi="Arial" w:cs="Arial"/>
        </w:rPr>
        <w:t>The headteacher will then send a letter to the parent informing them of the following information:</w:t>
      </w:r>
    </w:p>
    <w:p w14:paraId="1E39E085" w14:textId="77777777" w:rsidR="006C5267" w:rsidRPr="00CB7E18" w:rsidRDefault="006C5267" w:rsidP="006C5267">
      <w:pPr>
        <w:pStyle w:val="TNCBodyText"/>
        <w:numPr>
          <w:ilvl w:val="0"/>
          <w:numId w:val="9"/>
        </w:numPr>
        <w:spacing w:before="0" w:after="0"/>
        <w:rPr>
          <w:rFonts w:ascii="Arial" w:hAnsi="Arial" w:cs="Arial"/>
        </w:rPr>
      </w:pPr>
      <w:r w:rsidRPr="00CB7E18">
        <w:rPr>
          <w:rFonts w:ascii="Arial" w:hAnsi="Arial" w:cs="Arial"/>
        </w:rPr>
        <w:t>Why they have been temporarily barred or face a bar</w:t>
      </w:r>
    </w:p>
    <w:p w14:paraId="2D672037" w14:textId="77777777" w:rsidR="006C5267" w:rsidRPr="00CB7E18" w:rsidRDefault="006C5267" w:rsidP="006C5267">
      <w:pPr>
        <w:pStyle w:val="TNCBodyText"/>
        <w:numPr>
          <w:ilvl w:val="0"/>
          <w:numId w:val="9"/>
        </w:numPr>
        <w:spacing w:before="0" w:after="0"/>
        <w:rPr>
          <w:rFonts w:ascii="Arial" w:hAnsi="Arial" w:cs="Arial"/>
        </w:rPr>
      </w:pPr>
      <w:r w:rsidRPr="00CB7E18">
        <w:rPr>
          <w:rFonts w:ascii="Arial" w:hAnsi="Arial" w:cs="Arial"/>
        </w:rPr>
        <w:t>The nature of the bar, i.e. if they are temporarily barred pending their representation or if they must present their side before the decision to bar can be made</w:t>
      </w:r>
    </w:p>
    <w:p w14:paraId="684BA5E9" w14:textId="77777777" w:rsidR="006C5267" w:rsidRPr="00CB7E18" w:rsidRDefault="006C5267" w:rsidP="006C5267">
      <w:pPr>
        <w:pStyle w:val="TNCBodyText"/>
        <w:numPr>
          <w:ilvl w:val="0"/>
          <w:numId w:val="9"/>
        </w:numPr>
        <w:spacing w:before="0" w:after="0"/>
        <w:rPr>
          <w:rFonts w:ascii="Arial" w:hAnsi="Arial" w:cs="Arial"/>
        </w:rPr>
      </w:pPr>
      <w:r w:rsidRPr="00CB7E18">
        <w:rPr>
          <w:rFonts w:ascii="Arial" w:hAnsi="Arial" w:cs="Arial"/>
        </w:rPr>
        <w:t>That they have the right to formally express their views on the decision to bar, in writing, to the appropriate person or body by a set deadline.</w:t>
      </w:r>
    </w:p>
    <w:p w14:paraId="3928C3DF" w14:textId="77777777" w:rsidR="006C5267" w:rsidRDefault="006C5267" w:rsidP="006C5267">
      <w:pPr>
        <w:pStyle w:val="TNCBodyText"/>
        <w:spacing w:after="0"/>
        <w:rPr>
          <w:rFonts w:ascii="Arial" w:hAnsi="Arial" w:cs="Arial"/>
        </w:rPr>
      </w:pPr>
      <w:r w:rsidRPr="00CB7E18">
        <w:rPr>
          <w:rFonts w:ascii="Arial" w:hAnsi="Arial" w:cs="Arial"/>
        </w:rPr>
        <w:t>After the individual’s side has been heard, the school will decide whether to continue with barring them. This decision will be reviewed within a reasonable time and decided by the school.</w:t>
      </w:r>
    </w:p>
    <w:p w14:paraId="6BEF0EE3" w14:textId="77777777" w:rsidR="006C5267" w:rsidRPr="00CB7E18" w:rsidRDefault="006C5267" w:rsidP="006C5267">
      <w:pPr>
        <w:pStyle w:val="TNCBodyText"/>
        <w:spacing w:after="0"/>
        <w:rPr>
          <w:rFonts w:ascii="Arial" w:hAnsi="Arial" w:cs="Arial"/>
        </w:rPr>
      </w:pPr>
      <w:r>
        <w:rPr>
          <w:rFonts w:ascii="Arial" w:hAnsi="Arial" w:cs="Arial"/>
        </w:rPr>
        <w:t>At the point at which an individual is informed that they are barred, that there is an intention to bar or warned that future misconduct may result in them being barred, the headteacher will inform the Head of Governance, so that a central record of all such incidents is held centrally within the trust.</w:t>
      </w:r>
    </w:p>
    <w:p w14:paraId="4D1B023D" w14:textId="77777777" w:rsidR="006C5267" w:rsidRPr="00CB7E18" w:rsidRDefault="006C5267" w:rsidP="006C5267">
      <w:pPr>
        <w:pStyle w:val="TNCBodyText"/>
        <w:spacing w:before="0" w:after="0"/>
        <w:rPr>
          <w:rFonts w:ascii="Arial" w:hAnsi="Arial" w:cs="Arial"/>
        </w:rPr>
      </w:pPr>
    </w:p>
    <w:p w14:paraId="2031CE08" w14:textId="77777777" w:rsidR="006C5267" w:rsidRPr="00CB7E18" w:rsidRDefault="006C5267" w:rsidP="006C5267">
      <w:pPr>
        <w:pStyle w:val="Policysections"/>
        <w:rPr>
          <w:rFonts w:ascii="Arial" w:hAnsi="Arial" w:cs="Arial"/>
        </w:rPr>
      </w:pPr>
      <w:bookmarkStart w:id="6" w:name="barringappeals"/>
      <w:bookmarkEnd w:id="6"/>
      <w:r w:rsidRPr="00CB7E18">
        <w:rPr>
          <w:rFonts w:ascii="Arial" w:hAnsi="Arial" w:cs="Arial"/>
        </w:rPr>
        <w:t>Barring appeals</w:t>
      </w:r>
    </w:p>
    <w:p w14:paraId="31B9C3A7" w14:textId="77777777" w:rsidR="006C5267" w:rsidRPr="00CB7E18" w:rsidRDefault="006C5267" w:rsidP="006C5267">
      <w:pPr>
        <w:pStyle w:val="TNCBodyText"/>
        <w:rPr>
          <w:rFonts w:ascii="Arial" w:hAnsi="Arial" w:cs="Arial"/>
        </w:rPr>
      </w:pPr>
      <w:r w:rsidRPr="00CB7E18">
        <w:rPr>
          <w:rFonts w:ascii="Arial" w:hAnsi="Arial" w:cs="Arial"/>
        </w:rPr>
        <w:t>Individuals will always be given the opportunity to formally express their views on a decision to bar.</w:t>
      </w:r>
    </w:p>
    <w:p w14:paraId="3E93A0BB" w14:textId="77777777" w:rsidR="006C5267" w:rsidRPr="00CB7E18" w:rsidRDefault="006C5267" w:rsidP="006C5267">
      <w:pPr>
        <w:pStyle w:val="TNCBodyText"/>
        <w:spacing w:after="0"/>
        <w:rPr>
          <w:rFonts w:ascii="Arial" w:hAnsi="Arial" w:cs="Arial"/>
        </w:rPr>
      </w:pPr>
      <w:r w:rsidRPr="00CB7E18">
        <w:rPr>
          <w:rFonts w:ascii="Arial" w:hAnsi="Arial" w:cs="Arial"/>
        </w:rPr>
        <w:t>The headteacher’s decision to bar will be reviewed by either:</w:t>
      </w:r>
    </w:p>
    <w:p w14:paraId="4089EF37" w14:textId="77777777" w:rsidR="006C5267" w:rsidRPr="00CB7E18" w:rsidRDefault="006C5267" w:rsidP="006C5267">
      <w:pPr>
        <w:pStyle w:val="TNCBodyText"/>
        <w:numPr>
          <w:ilvl w:val="0"/>
          <w:numId w:val="11"/>
        </w:numPr>
        <w:spacing w:before="0" w:after="0"/>
        <w:rPr>
          <w:rFonts w:ascii="Arial" w:hAnsi="Arial" w:cs="Arial"/>
        </w:rPr>
      </w:pPr>
      <w:r w:rsidRPr="00CB7E18">
        <w:rPr>
          <w:rFonts w:ascii="Arial" w:hAnsi="Arial" w:cs="Arial"/>
        </w:rPr>
        <w:t>The CEO.</w:t>
      </w:r>
    </w:p>
    <w:p w14:paraId="06AADD30" w14:textId="77777777" w:rsidR="006C5267" w:rsidRPr="00CB7E18" w:rsidRDefault="006C5267" w:rsidP="006C5267">
      <w:pPr>
        <w:pStyle w:val="TNCBodyText"/>
        <w:numPr>
          <w:ilvl w:val="0"/>
          <w:numId w:val="11"/>
        </w:numPr>
        <w:spacing w:before="0" w:after="0"/>
        <w:rPr>
          <w:rFonts w:ascii="Arial" w:hAnsi="Arial" w:cs="Arial"/>
        </w:rPr>
      </w:pPr>
      <w:r w:rsidRPr="00CB7E18">
        <w:rPr>
          <w:rFonts w:ascii="Arial" w:hAnsi="Arial" w:cs="Arial"/>
        </w:rPr>
        <w:t>A committee of governors/trustees.</w:t>
      </w:r>
    </w:p>
    <w:p w14:paraId="63F4237F" w14:textId="77777777" w:rsidR="006C5267" w:rsidRPr="00CB7E18" w:rsidRDefault="006C5267" w:rsidP="006C5267">
      <w:pPr>
        <w:pStyle w:val="TNCBodyText"/>
        <w:rPr>
          <w:rFonts w:ascii="Arial" w:hAnsi="Arial" w:cs="Arial"/>
        </w:rPr>
      </w:pPr>
      <w:r w:rsidRPr="00CB7E18">
        <w:rPr>
          <w:rFonts w:ascii="Arial" w:hAnsi="Arial" w:cs="Arial"/>
        </w:rPr>
        <w:t xml:space="preserve">Any representations made by the individual will be </w:t>
      </w:r>
      <w:proofErr w:type="gramStart"/>
      <w:r w:rsidRPr="00CB7E18">
        <w:rPr>
          <w:rFonts w:ascii="Arial" w:hAnsi="Arial" w:cs="Arial"/>
        </w:rPr>
        <w:t>taken into account</w:t>
      </w:r>
      <w:proofErr w:type="gramEnd"/>
      <w:r w:rsidRPr="00CB7E18">
        <w:rPr>
          <w:rFonts w:ascii="Arial" w:hAnsi="Arial" w:cs="Arial"/>
        </w:rPr>
        <w:t xml:space="preserve">, and a decision will be made as to whether the school will confirm or lift the bar. </w:t>
      </w:r>
    </w:p>
    <w:p w14:paraId="2802ADA8" w14:textId="77777777" w:rsidR="006C5267" w:rsidRPr="00CB7E18" w:rsidRDefault="006C5267" w:rsidP="006C5267">
      <w:pPr>
        <w:pStyle w:val="TNCBodyText"/>
        <w:spacing w:after="0"/>
        <w:rPr>
          <w:rFonts w:ascii="Arial" w:hAnsi="Arial" w:cs="Arial"/>
        </w:rPr>
      </w:pPr>
      <w:r w:rsidRPr="00CB7E18">
        <w:rPr>
          <w:rFonts w:ascii="Arial" w:hAnsi="Arial" w:cs="Arial"/>
        </w:rPr>
        <w:t>If the decision to bar the individual is confirmed, the individual will be notified in writing, explaining:</w:t>
      </w:r>
    </w:p>
    <w:p w14:paraId="09CCDCCD" w14:textId="77777777" w:rsidR="006C5267" w:rsidRPr="00CB7E18" w:rsidRDefault="006C5267" w:rsidP="006C5267">
      <w:pPr>
        <w:pStyle w:val="TNCBodyText"/>
        <w:numPr>
          <w:ilvl w:val="0"/>
          <w:numId w:val="12"/>
        </w:numPr>
        <w:spacing w:before="0" w:after="0"/>
        <w:rPr>
          <w:rFonts w:ascii="Arial" w:hAnsi="Arial" w:cs="Arial"/>
        </w:rPr>
      </w:pPr>
      <w:r w:rsidRPr="00CB7E18">
        <w:rPr>
          <w:rFonts w:ascii="Arial" w:hAnsi="Arial" w:cs="Arial"/>
        </w:rPr>
        <w:t>How long the bar will be in place.</w:t>
      </w:r>
    </w:p>
    <w:p w14:paraId="133F64FD" w14:textId="77777777" w:rsidR="006C5267" w:rsidRPr="00CB7E18" w:rsidRDefault="006C5267" w:rsidP="006C5267">
      <w:pPr>
        <w:pStyle w:val="TNCBodyText"/>
        <w:numPr>
          <w:ilvl w:val="0"/>
          <w:numId w:val="12"/>
        </w:numPr>
        <w:spacing w:before="0" w:after="0"/>
        <w:rPr>
          <w:rFonts w:ascii="Arial" w:hAnsi="Arial" w:cs="Arial"/>
        </w:rPr>
      </w:pPr>
      <w:r w:rsidRPr="00CB7E18">
        <w:rPr>
          <w:rFonts w:ascii="Arial" w:hAnsi="Arial" w:cs="Arial"/>
        </w:rPr>
        <w:t>When the decision will be reviewed.</w:t>
      </w:r>
    </w:p>
    <w:p w14:paraId="02120073" w14:textId="77777777" w:rsidR="006C5267" w:rsidRPr="00CB7E18" w:rsidRDefault="006C5267" w:rsidP="006C5267">
      <w:pPr>
        <w:pStyle w:val="TNCBodyText"/>
        <w:rPr>
          <w:rFonts w:ascii="Arial" w:hAnsi="Arial" w:cs="Arial"/>
        </w:rPr>
      </w:pPr>
      <w:r w:rsidRPr="00CB7E18">
        <w:rPr>
          <w:rFonts w:ascii="Arial" w:hAnsi="Arial" w:cs="Arial"/>
        </w:rPr>
        <w:lastRenderedPageBreak/>
        <w:t>Once the appeals process has been completed, individuals who remain barred may be able to apply to the courts for a review of the school’s decision. Individuals wishing to exercise this option should seek independent legal advice.</w:t>
      </w:r>
    </w:p>
    <w:p w14:paraId="07A7FAA5" w14:textId="77777777" w:rsidR="006C5267" w:rsidRPr="00CB7E18" w:rsidRDefault="006C5267" w:rsidP="006C5267">
      <w:pPr>
        <w:pStyle w:val="TNCBodyText"/>
        <w:spacing w:after="0"/>
        <w:rPr>
          <w:rFonts w:ascii="Arial" w:hAnsi="Arial" w:cs="Arial"/>
        </w:rPr>
      </w:pPr>
      <w:r w:rsidRPr="00CB7E18">
        <w:rPr>
          <w:rFonts w:ascii="Arial" w:hAnsi="Arial" w:cs="Arial"/>
        </w:rPr>
        <w:t>Any complaints regarding barring decisions will be managed in accordance with the school’s Complaints Policy.</w:t>
      </w:r>
    </w:p>
    <w:p w14:paraId="52474EA1" w14:textId="77777777" w:rsidR="006C5267" w:rsidRPr="00CB7E18" w:rsidRDefault="006C5267" w:rsidP="006C5267">
      <w:pPr>
        <w:pStyle w:val="TNCBodyText"/>
        <w:spacing w:before="0" w:after="0"/>
        <w:rPr>
          <w:rFonts w:ascii="Arial" w:hAnsi="Arial" w:cs="Arial"/>
        </w:rPr>
      </w:pPr>
    </w:p>
    <w:p w14:paraId="14A05A49" w14:textId="77777777" w:rsidR="006C5267" w:rsidRPr="00CB7E18" w:rsidRDefault="006C5267" w:rsidP="006C5267">
      <w:pPr>
        <w:pStyle w:val="Policysections"/>
        <w:rPr>
          <w:rFonts w:ascii="Arial" w:hAnsi="Arial" w:cs="Arial"/>
        </w:rPr>
      </w:pPr>
      <w:bookmarkStart w:id="7" w:name="monitoring"/>
      <w:bookmarkEnd w:id="7"/>
      <w:r w:rsidRPr="00CB7E18">
        <w:rPr>
          <w:rFonts w:ascii="Arial" w:hAnsi="Arial" w:cs="Arial"/>
        </w:rPr>
        <w:t>Monitoring and review</w:t>
      </w:r>
    </w:p>
    <w:p w14:paraId="66B46AF9" w14:textId="77777777" w:rsidR="006C5267" w:rsidRPr="00CB7E18" w:rsidRDefault="006C5267" w:rsidP="006C5267">
      <w:pPr>
        <w:pStyle w:val="TNCBodyText"/>
        <w:rPr>
          <w:rFonts w:ascii="Arial" w:hAnsi="Arial" w:cs="Arial"/>
        </w:rPr>
      </w:pPr>
      <w:r w:rsidRPr="00CB7E18">
        <w:rPr>
          <w:rFonts w:ascii="Arial" w:hAnsi="Arial" w:cs="Arial"/>
        </w:rPr>
        <w:t>This policy will be reviewed every 2 years by the CEO or delegated trust leader.</w:t>
      </w:r>
    </w:p>
    <w:p w14:paraId="3278C519" w14:textId="77777777" w:rsidR="006C5267" w:rsidRPr="00CB7E18" w:rsidRDefault="006C5267" w:rsidP="006C5267">
      <w:pPr>
        <w:pStyle w:val="TNCBodyText"/>
        <w:rPr>
          <w:rFonts w:ascii="Arial" w:hAnsi="Arial" w:cs="Arial"/>
        </w:rPr>
      </w:pPr>
      <w:r w:rsidRPr="00CB7E18">
        <w:rPr>
          <w:rFonts w:ascii="Arial" w:hAnsi="Arial" w:cs="Arial"/>
        </w:rPr>
        <w:t>This policy will also be reviewed following any incidents relating to individuals coming onto the school premises.</w:t>
      </w:r>
    </w:p>
    <w:p w14:paraId="5E2E2679" w14:textId="77777777" w:rsidR="006C5267" w:rsidRPr="00CB7E18" w:rsidRDefault="006C5267" w:rsidP="006C5267">
      <w:pPr>
        <w:tabs>
          <w:tab w:val="left" w:pos="6414"/>
        </w:tabs>
        <w:rPr>
          <w:rFonts w:ascii="Arial" w:hAnsi="Arial" w:cs="Arial"/>
        </w:rPr>
      </w:pPr>
    </w:p>
    <w:p w14:paraId="29AAA2F7" w14:textId="77777777" w:rsidR="006C5267" w:rsidRPr="00D37050" w:rsidRDefault="006C5267" w:rsidP="00087304">
      <w:pPr>
        <w:spacing w:after="0" w:line="240" w:lineRule="auto"/>
      </w:pPr>
    </w:p>
    <w:sectPr w:rsidR="006C5267" w:rsidRPr="00D3705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5802A4"/>
    <w:multiLevelType w:val="hybridMultilevel"/>
    <w:tmpl w:val="FC9CA0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1FA62AD"/>
    <w:multiLevelType w:val="hybridMultilevel"/>
    <w:tmpl w:val="A4AAA0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B6C4667"/>
    <w:multiLevelType w:val="hybridMultilevel"/>
    <w:tmpl w:val="48CC34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B721693"/>
    <w:multiLevelType w:val="hybridMultilevel"/>
    <w:tmpl w:val="6EC275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76D5669"/>
    <w:multiLevelType w:val="hybridMultilevel"/>
    <w:tmpl w:val="AB90524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58C012A9"/>
    <w:multiLevelType w:val="hybridMultilevel"/>
    <w:tmpl w:val="B0F2C570"/>
    <w:lvl w:ilvl="0" w:tplc="EF46F908">
      <w:start w:val="1"/>
      <w:numFmt w:val="decimal"/>
      <w:pStyle w:val="Policysections"/>
      <w:lvlText w:val="%1."/>
      <w:lvlJc w:val="left"/>
      <w:pPr>
        <w:ind w:left="502" w:hanging="360"/>
      </w:pPr>
    </w:lvl>
    <w:lvl w:ilvl="1" w:tplc="FFFFFFFF">
      <w:start w:val="1"/>
      <w:numFmt w:val="lowerLetter"/>
      <w:lvlText w:val="%2."/>
      <w:lvlJc w:val="left"/>
      <w:pPr>
        <w:ind w:left="1222" w:hanging="360"/>
      </w:pPr>
    </w:lvl>
    <w:lvl w:ilvl="2" w:tplc="FFFFFFFF" w:tentative="1">
      <w:start w:val="1"/>
      <w:numFmt w:val="lowerRoman"/>
      <w:lvlText w:val="%3."/>
      <w:lvlJc w:val="right"/>
      <w:pPr>
        <w:ind w:left="1942" w:hanging="180"/>
      </w:pPr>
    </w:lvl>
    <w:lvl w:ilvl="3" w:tplc="FFFFFFFF" w:tentative="1">
      <w:start w:val="1"/>
      <w:numFmt w:val="decimal"/>
      <w:lvlText w:val="%4."/>
      <w:lvlJc w:val="left"/>
      <w:pPr>
        <w:ind w:left="2662" w:hanging="360"/>
      </w:pPr>
    </w:lvl>
    <w:lvl w:ilvl="4" w:tplc="FFFFFFFF" w:tentative="1">
      <w:start w:val="1"/>
      <w:numFmt w:val="lowerLetter"/>
      <w:lvlText w:val="%5."/>
      <w:lvlJc w:val="left"/>
      <w:pPr>
        <w:ind w:left="3382" w:hanging="360"/>
      </w:pPr>
    </w:lvl>
    <w:lvl w:ilvl="5" w:tplc="FFFFFFFF" w:tentative="1">
      <w:start w:val="1"/>
      <w:numFmt w:val="lowerRoman"/>
      <w:lvlText w:val="%6."/>
      <w:lvlJc w:val="right"/>
      <w:pPr>
        <w:ind w:left="4102" w:hanging="180"/>
      </w:pPr>
    </w:lvl>
    <w:lvl w:ilvl="6" w:tplc="FFFFFFFF" w:tentative="1">
      <w:start w:val="1"/>
      <w:numFmt w:val="decimal"/>
      <w:lvlText w:val="%7."/>
      <w:lvlJc w:val="left"/>
      <w:pPr>
        <w:ind w:left="4822" w:hanging="360"/>
      </w:pPr>
    </w:lvl>
    <w:lvl w:ilvl="7" w:tplc="FFFFFFFF" w:tentative="1">
      <w:start w:val="1"/>
      <w:numFmt w:val="lowerLetter"/>
      <w:lvlText w:val="%8."/>
      <w:lvlJc w:val="left"/>
      <w:pPr>
        <w:ind w:left="5542" w:hanging="360"/>
      </w:pPr>
    </w:lvl>
    <w:lvl w:ilvl="8" w:tplc="FFFFFFFF" w:tentative="1">
      <w:start w:val="1"/>
      <w:numFmt w:val="lowerRoman"/>
      <w:lvlText w:val="%9."/>
      <w:lvlJc w:val="right"/>
      <w:pPr>
        <w:ind w:left="6262" w:hanging="180"/>
      </w:pPr>
    </w:lvl>
  </w:abstractNum>
  <w:abstractNum w:abstractNumId="6" w15:restartNumberingAfterBreak="0">
    <w:nsid w:val="593D308E"/>
    <w:multiLevelType w:val="hybridMultilevel"/>
    <w:tmpl w:val="916C49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59834030"/>
    <w:multiLevelType w:val="hybridMultilevel"/>
    <w:tmpl w:val="6262A6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E372261"/>
    <w:multiLevelType w:val="hybridMultilevel"/>
    <w:tmpl w:val="E7CC1E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65A53C79"/>
    <w:multiLevelType w:val="hybridMultilevel"/>
    <w:tmpl w:val="5E4A9E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6A7C7336"/>
    <w:multiLevelType w:val="hybridMultilevel"/>
    <w:tmpl w:val="78EA21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7398675C"/>
    <w:multiLevelType w:val="hybridMultilevel"/>
    <w:tmpl w:val="16C617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77D275BC"/>
    <w:multiLevelType w:val="hybridMultilevel"/>
    <w:tmpl w:val="E3F6DD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94140563">
    <w:abstractNumId w:val="4"/>
  </w:num>
  <w:num w:numId="2" w16cid:durableId="525289912">
    <w:abstractNumId w:val="5"/>
  </w:num>
  <w:num w:numId="3" w16cid:durableId="157158469">
    <w:abstractNumId w:val="6"/>
  </w:num>
  <w:num w:numId="4" w16cid:durableId="661082714">
    <w:abstractNumId w:val="1"/>
  </w:num>
  <w:num w:numId="5" w16cid:durableId="2089032478">
    <w:abstractNumId w:val="0"/>
  </w:num>
  <w:num w:numId="6" w16cid:durableId="1604877072">
    <w:abstractNumId w:val="7"/>
  </w:num>
  <w:num w:numId="7" w16cid:durableId="1918440978">
    <w:abstractNumId w:val="8"/>
  </w:num>
  <w:num w:numId="8" w16cid:durableId="2051806668">
    <w:abstractNumId w:val="10"/>
  </w:num>
  <w:num w:numId="9" w16cid:durableId="1799447492">
    <w:abstractNumId w:val="3"/>
  </w:num>
  <w:num w:numId="10" w16cid:durableId="639311876">
    <w:abstractNumId w:val="9"/>
  </w:num>
  <w:num w:numId="11" w16cid:durableId="824278120">
    <w:abstractNumId w:val="12"/>
  </w:num>
  <w:num w:numId="12" w16cid:durableId="468059132">
    <w:abstractNumId w:val="2"/>
  </w:num>
  <w:num w:numId="13" w16cid:durableId="1200506717">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69A0"/>
    <w:rsid w:val="00087304"/>
    <w:rsid w:val="0018229B"/>
    <w:rsid w:val="00207439"/>
    <w:rsid w:val="002C0F87"/>
    <w:rsid w:val="00356ACA"/>
    <w:rsid w:val="00477F41"/>
    <w:rsid w:val="004A719E"/>
    <w:rsid w:val="006C5267"/>
    <w:rsid w:val="006D7A37"/>
    <w:rsid w:val="007869A0"/>
    <w:rsid w:val="008363DB"/>
    <w:rsid w:val="008518BA"/>
    <w:rsid w:val="00A00C98"/>
    <w:rsid w:val="00A30E50"/>
    <w:rsid w:val="00A87BA1"/>
    <w:rsid w:val="00A940C1"/>
    <w:rsid w:val="00B0631A"/>
    <w:rsid w:val="00C250E3"/>
    <w:rsid w:val="00CD61F5"/>
    <w:rsid w:val="00D37050"/>
    <w:rsid w:val="00D41C2B"/>
    <w:rsid w:val="00D92721"/>
    <w:rsid w:val="00DA18A7"/>
    <w:rsid w:val="00E74FAA"/>
    <w:rsid w:val="00EE74A7"/>
    <w:rsid w:val="00FF71E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99E08B"/>
  <w15:chartTrackingRefBased/>
  <w15:docId w15:val="{B3708CF9-6AC7-44A5-A9F6-BF529B85DB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heme="minorHAnsi" w:hAnsi="Calibri" w:cstheme="minorHAnsi"/>
        <w:sz w:val="22"/>
        <w:szCs w:val="22"/>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style>
  <w:style w:type="paragraph" w:styleId="Heading1">
    <w:name w:val="heading 1"/>
    <w:basedOn w:val="Normal"/>
    <w:next w:val="Normal"/>
    <w:link w:val="Heading1Char"/>
    <w:uiPriority w:val="9"/>
    <w:qFormat/>
    <w:rsid w:val="007869A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869A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869A0"/>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869A0"/>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7869A0"/>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7869A0"/>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7869A0"/>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7869A0"/>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7869A0"/>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869A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869A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869A0"/>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869A0"/>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7869A0"/>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7869A0"/>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7869A0"/>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7869A0"/>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7869A0"/>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7869A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869A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869A0"/>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869A0"/>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7869A0"/>
    <w:pPr>
      <w:spacing w:before="160"/>
      <w:jc w:val="center"/>
    </w:pPr>
    <w:rPr>
      <w:i/>
      <w:iCs/>
      <w:color w:val="404040" w:themeColor="text1" w:themeTint="BF"/>
    </w:rPr>
  </w:style>
  <w:style w:type="character" w:customStyle="1" w:styleId="QuoteChar">
    <w:name w:val="Quote Char"/>
    <w:basedOn w:val="DefaultParagraphFont"/>
    <w:link w:val="Quote"/>
    <w:uiPriority w:val="29"/>
    <w:rsid w:val="007869A0"/>
    <w:rPr>
      <w:i/>
      <w:iCs/>
      <w:color w:val="404040" w:themeColor="text1" w:themeTint="BF"/>
    </w:rPr>
  </w:style>
  <w:style w:type="paragraph" w:styleId="ListParagraph">
    <w:name w:val="List Paragraph"/>
    <w:basedOn w:val="Normal"/>
    <w:uiPriority w:val="34"/>
    <w:qFormat/>
    <w:rsid w:val="007869A0"/>
    <w:pPr>
      <w:ind w:left="720"/>
      <w:contextualSpacing/>
    </w:pPr>
  </w:style>
  <w:style w:type="character" w:styleId="IntenseEmphasis">
    <w:name w:val="Intense Emphasis"/>
    <w:basedOn w:val="DefaultParagraphFont"/>
    <w:uiPriority w:val="21"/>
    <w:qFormat/>
    <w:rsid w:val="007869A0"/>
    <w:rPr>
      <w:i/>
      <w:iCs/>
      <w:color w:val="0F4761" w:themeColor="accent1" w:themeShade="BF"/>
    </w:rPr>
  </w:style>
  <w:style w:type="paragraph" w:styleId="IntenseQuote">
    <w:name w:val="Intense Quote"/>
    <w:basedOn w:val="Normal"/>
    <w:next w:val="Normal"/>
    <w:link w:val="IntenseQuoteChar"/>
    <w:uiPriority w:val="30"/>
    <w:qFormat/>
    <w:rsid w:val="007869A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869A0"/>
    <w:rPr>
      <w:i/>
      <w:iCs/>
      <w:color w:val="0F4761" w:themeColor="accent1" w:themeShade="BF"/>
    </w:rPr>
  </w:style>
  <w:style w:type="character" w:styleId="IntenseReference">
    <w:name w:val="Intense Reference"/>
    <w:basedOn w:val="DefaultParagraphFont"/>
    <w:uiPriority w:val="32"/>
    <w:qFormat/>
    <w:rsid w:val="007869A0"/>
    <w:rPr>
      <w:b/>
      <w:bCs/>
      <w:smallCaps/>
      <w:color w:val="0F4761" w:themeColor="accent1" w:themeShade="BF"/>
      <w:spacing w:val="5"/>
    </w:rPr>
  </w:style>
  <w:style w:type="table" w:styleId="TableGrid">
    <w:name w:val="Table Grid"/>
    <w:basedOn w:val="TableNormal"/>
    <w:uiPriority w:val="59"/>
    <w:rsid w:val="00D37050"/>
    <w:rPr>
      <w:rFonts w:asciiTheme="minorHAnsi" w:hAnsiTheme="minorHAnsi"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NCBodyText">
    <w:name w:val="TNC Body Text"/>
    <w:basedOn w:val="Normal"/>
    <w:link w:val="TNCBodyTextChar"/>
    <w:qFormat/>
    <w:rsid w:val="006C5267"/>
    <w:pPr>
      <w:spacing w:before="200" w:after="200" w:line="276" w:lineRule="auto"/>
      <w:jc w:val="both"/>
    </w:pPr>
    <w:rPr>
      <w:rFonts w:asciiTheme="minorHAnsi" w:hAnsiTheme="minorHAnsi" w:cstheme="minorBidi"/>
    </w:rPr>
  </w:style>
  <w:style w:type="character" w:customStyle="1" w:styleId="TNCBodyTextChar">
    <w:name w:val="TNC Body Text Char"/>
    <w:basedOn w:val="DefaultParagraphFont"/>
    <w:link w:val="TNCBodyText"/>
    <w:rsid w:val="006C5267"/>
    <w:rPr>
      <w:rFonts w:asciiTheme="minorHAnsi" w:hAnsiTheme="minorHAnsi" w:cstheme="minorBidi"/>
    </w:rPr>
  </w:style>
  <w:style w:type="character" w:styleId="Hyperlink">
    <w:name w:val="Hyperlink"/>
    <w:basedOn w:val="DefaultParagraphFont"/>
    <w:uiPriority w:val="99"/>
    <w:unhideWhenUsed/>
    <w:rsid w:val="006C5267"/>
    <w:rPr>
      <w:color w:val="467886" w:themeColor="hyperlink"/>
      <w:u w:val="single"/>
    </w:rPr>
  </w:style>
  <w:style w:type="paragraph" w:customStyle="1" w:styleId="Policysections">
    <w:name w:val="Policy sections"/>
    <w:basedOn w:val="Heading1"/>
    <w:link w:val="PolicysectionsChar"/>
    <w:rsid w:val="006C5267"/>
    <w:pPr>
      <w:numPr>
        <w:numId w:val="2"/>
      </w:numPr>
      <w:spacing w:before="200" w:after="200"/>
      <w:ind w:left="425" w:hanging="425"/>
    </w:pPr>
    <w:rPr>
      <w:sz w:val="32"/>
      <w:szCs w:val="32"/>
    </w:rPr>
  </w:style>
  <w:style w:type="character" w:customStyle="1" w:styleId="PolicysectionsChar">
    <w:name w:val="Policy sections Char"/>
    <w:basedOn w:val="Heading1Char"/>
    <w:link w:val="Policysections"/>
    <w:rsid w:val="006C5267"/>
    <w:rPr>
      <w:rFonts w:asciiTheme="majorHAnsi" w:eastAsiaTheme="majorEastAsia" w:hAnsiTheme="majorHAnsi" w:cstheme="majorBidi"/>
      <w:color w:val="0F4761"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lcf76f155ced4ddcb4097134ff3c332f xmlns="46906236-e48f-4c70-b174-af15e4726da8">
      <Terms xmlns="http://schemas.microsoft.com/office/infopath/2007/PartnerControls"/>
    </lcf76f155ced4ddcb4097134ff3c332f>
    <TaxCatchAll xmlns="6ad9c202-6621-467e-8bb9-ce02d7e1069c" xsi:nil="true"/>
    <_ip_UnifiedCompliancePolicyProperties xmlns="http://schemas.microsoft.com/sharepoint/v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A0D9CF27C16BF843B9F97020EEF276E4" ma:contentTypeVersion="18" ma:contentTypeDescription="Create a new document." ma:contentTypeScope="" ma:versionID="8a6a0534077fc9396abd6b0e83c5cffa">
  <xsd:schema xmlns:xsd="http://www.w3.org/2001/XMLSchema" xmlns:xs="http://www.w3.org/2001/XMLSchema" xmlns:p="http://schemas.microsoft.com/office/2006/metadata/properties" xmlns:ns1="http://schemas.microsoft.com/sharepoint/v3" xmlns:ns2="46906236-e48f-4c70-b174-af15e4726da8" xmlns:ns3="6ad9c202-6621-467e-8bb9-ce02d7e1069c" targetNamespace="http://schemas.microsoft.com/office/2006/metadata/properties" ma:root="true" ma:fieldsID="7f82de14db1904b709b9d915413676db" ns1:_="" ns2:_="" ns3:_="">
    <xsd:import namespace="http://schemas.microsoft.com/sharepoint/v3"/>
    <xsd:import namespace="46906236-e48f-4c70-b174-af15e4726da8"/>
    <xsd:import namespace="6ad9c202-6621-467e-8bb9-ce02d7e1069c"/>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Location" minOccurs="0"/>
                <xsd:element ref="ns1:_ip_UnifiedCompliancePolicyProperties" minOccurs="0"/>
                <xsd:element ref="ns1:_ip_UnifiedCompliancePolicyUIAction"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6906236-e48f-4c70-b174-af15e4726da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50215632-5be7-42aa-b53d-19e489374180"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indexed="true" ma:internalName="MediaServiceLocation" ma:readOnly="true">
      <xsd:simpleType>
        <xsd:restriction base="dms:Text"/>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BillingMetadata" ma:index="25"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ad9c202-6621-467e-8bb9-ce02d7e1069c"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b70504b7-ddc1-47ad-a189-f0e1d03fc141}" ma:internalName="TaxCatchAll" ma:showField="CatchAllData" ma:web="6ad9c202-6621-467e-8bb9-ce02d7e1069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74ED69B-DAD1-455E-9636-C971207957FB}">
  <ds:schemaRefs>
    <ds:schemaRef ds:uri="http://schemas.microsoft.com/office/2006/metadata/properties"/>
    <ds:schemaRef ds:uri="http://schemas.microsoft.com/office/infopath/2007/PartnerControls"/>
    <ds:schemaRef ds:uri="http://schemas.microsoft.com/sharepoint/v3"/>
    <ds:schemaRef ds:uri="46906236-e48f-4c70-b174-af15e4726da8"/>
    <ds:schemaRef ds:uri="6ad9c202-6621-467e-8bb9-ce02d7e1069c"/>
  </ds:schemaRefs>
</ds:datastoreItem>
</file>

<file path=customXml/itemProps2.xml><?xml version="1.0" encoding="utf-8"?>
<ds:datastoreItem xmlns:ds="http://schemas.openxmlformats.org/officeDocument/2006/customXml" ds:itemID="{72F130DA-3001-47F4-A7A7-DD9D10779CB4}">
  <ds:schemaRefs>
    <ds:schemaRef ds:uri="http://schemas.microsoft.com/sharepoint/v3/contenttype/forms"/>
  </ds:schemaRefs>
</ds:datastoreItem>
</file>

<file path=customXml/itemProps3.xml><?xml version="1.0" encoding="utf-8"?>
<ds:datastoreItem xmlns:ds="http://schemas.openxmlformats.org/officeDocument/2006/customXml" ds:itemID="{C2CBAB56-4455-4497-AB94-F8BBB265027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46906236-e48f-4c70-b174-af15e4726da8"/>
    <ds:schemaRef ds:uri="6ad9c202-6621-467e-8bb9-ce02d7e1069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8</Pages>
  <Words>1739</Words>
  <Characters>9914</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11630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Helen Whitaker</dc:creator>
  <cp:keywords/>
  <dc:description/>
  <cp:lastModifiedBy>C Singleton</cp:lastModifiedBy>
  <cp:revision>2</cp:revision>
  <dcterms:created xsi:type="dcterms:W3CDTF">2026-02-05T10:07:00Z</dcterms:created>
  <dcterms:modified xsi:type="dcterms:W3CDTF">2026-02-05T10:07:00Z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0x010100A0D9CF27C16BF843B9F97020EEF276E4</vt:lpwstr>
  </property>
  <property fmtid="{D5CDD505-2E9C-101B-9397-08002B2CF9AE}" pid="3" name="MediaServiceImageTags">
    <vt:lpwstr/>
  </property>
</Properties>
</file>